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B0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i w:val="0"/>
          <w:iCs w:val="0"/>
          <w:caps w:val="0"/>
          <w:snapToGrid w:val="0"/>
          <w:color w:val="000000"/>
          <w:spacing w:val="0"/>
          <w:kern w:val="0"/>
          <w:sz w:val="28"/>
          <w:szCs w:val="28"/>
          <w:highlight w:val="none"/>
          <w:shd w:val="clear" w:fill="FFFFFF"/>
          <w:lang w:val="en-US" w:eastAsia="zh-CN" w:bidi="ar"/>
        </w:rPr>
      </w:pPr>
      <w:r>
        <w:rPr>
          <w:rFonts w:hint="eastAsia" w:ascii="黑体" w:hAnsi="黑体" w:eastAsia="黑体" w:cs="黑体"/>
          <w:i w:val="0"/>
          <w:iCs w:val="0"/>
          <w:caps w:val="0"/>
          <w:snapToGrid w:val="0"/>
          <w:color w:val="000000"/>
          <w:spacing w:val="0"/>
          <w:kern w:val="0"/>
          <w:sz w:val="28"/>
          <w:szCs w:val="28"/>
          <w:highlight w:val="none"/>
          <w:shd w:val="clear" w:fill="FFFFFF"/>
          <w:lang w:val="en-US" w:eastAsia="zh-CN" w:bidi="ar"/>
        </w:rPr>
        <w:t>附件6</w:t>
      </w:r>
    </w:p>
    <w:p w14:paraId="50CF407B">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720A8561">
      <w:pPr>
        <w:keepNext w:val="0"/>
        <w:keepLines w:val="0"/>
        <w:pageBreakBefore w:val="0"/>
        <w:widowControl w:val="0"/>
        <w:kinsoku/>
        <w:wordWrap/>
        <w:overflowPunct/>
        <w:autoSpaceDN/>
        <w:bidi w:val="0"/>
        <w:spacing w:line="560" w:lineRule="exact"/>
        <w:ind w:firstLine="0" w:firstLineChars="0"/>
        <w:jc w:val="center"/>
        <w:rPr>
          <w:rFonts w:hint="eastAsia" w:ascii="方正小标宋简体" w:hAnsi="方正小标宋简体" w:eastAsia="方正小标宋简体" w:cs="方正小标宋简体"/>
          <w:snapToGrid w:val="0"/>
          <w:color w:val="000000"/>
          <w:kern w:val="0"/>
          <w:sz w:val="44"/>
          <w:szCs w:val="44"/>
          <w:highlight w:val="none"/>
        </w:rPr>
      </w:pPr>
      <w:r>
        <w:rPr>
          <w:rFonts w:hint="eastAsia" w:ascii="Times New Roman" w:hAnsi="Times New Roman" w:eastAsia="方正小标宋简体" w:cs="Times New Roman"/>
          <w:snapToGrid w:val="0"/>
          <w:color w:val="000000"/>
          <w:kern w:val="0"/>
          <w:sz w:val="44"/>
          <w:szCs w:val="44"/>
          <w:highlight w:val="none"/>
          <w:lang w:val="en-US" w:eastAsia="zh-CN"/>
        </w:rPr>
        <w:t>2025</w:t>
      </w:r>
      <w:r>
        <w:rPr>
          <w:rFonts w:hint="eastAsia" w:ascii="方正小标宋简体" w:hAnsi="方正小标宋简体" w:eastAsia="方正小标宋简体" w:cs="方正小标宋简体"/>
          <w:snapToGrid w:val="0"/>
          <w:color w:val="000000"/>
          <w:kern w:val="0"/>
          <w:sz w:val="44"/>
          <w:szCs w:val="44"/>
          <w:highlight w:val="none"/>
        </w:rPr>
        <w:t>年新疆</w:t>
      </w:r>
      <w:r>
        <w:rPr>
          <w:rFonts w:hint="eastAsia" w:ascii="方正小标宋简体" w:hAnsi="方正小标宋简体" w:eastAsia="方正小标宋简体" w:cs="方正小标宋简体"/>
          <w:snapToGrid w:val="0"/>
          <w:color w:val="000000"/>
          <w:kern w:val="0"/>
          <w:sz w:val="44"/>
          <w:szCs w:val="44"/>
          <w:highlight w:val="none"/>
          <w:lang w:val="en-US" w:eastAsia="zh-CN"/>
        </w:rPr>
        <w:t>生产建设兵团</w:t>
      </w:r>
      <w:r>
        <w:rPr>
          <w:rFonts w:hint="eastAsia" w:ascii="方正小标宋简体" w:hAnsi="方正小标宋简体" w:eastAsia="方正小标宋简体" w:cs="方正小标宋简体"/>
          <w:snapToGrid w:val="0"/>
          <w:color w:val="000000"/>
          <w:kern w:val="0"/>
          <w:sz w:val="44"/>
          <w:szCs w:val="44"/>
          <w:highlight w:val="none"/>
        </w:rPr>
        <w:t>探矿权出让</w:t>
      </w:r>
    </w:p>
    <w:p w14:paraId="31F177EB">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r>
        <w:rPr>
          <w:rFonts w:hint="eastAsia" w:ascii="方正小标宋简体" w:hAnsi="方正小标宋简体" w:eastAsia="方正小标宋简体" w:cs="方正小标宋简体"/>
          <w:snapToGrid w:val="0"/>
          <w:color w:val="000000"/>
          <w:kern w:val="0"/>
          <w:sz w:val="44"/>
          <w:szCs w:val="44"/>
          <w:highlight w:val="none"/>
        </w:rPr>
        <w:t>挂牌文件</w:t>
      </w:r>
    </w:p>
    <w:p w14:paraId="67A04238">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50304AF8">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bookmarkStart w:id="17" w:name="_GoBack"/>
      <w:bookmarkEnd w:id="17"/>
    </w:p>
    <w:p w14:paraId="1A9BDAC1">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2748128">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3EDF94C">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0365D4FD">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2DC499D9">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45BB26A0">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5467FB6">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5D124F8">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0047B650">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66BBD66">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548A68E2">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25552D72">
      <w:pPr>
        <w:keepNext w:val="0"/>
        <w:keepLines w:val="0"/>
        <w:pageBreakBefore w:val="0"/>
        <w:widowControl w:val="0"/>
        <w:kinsoku/>
        <w:wordWrap/>
        <w:overflowPunct/>
        <w:autoSpaceDN/>
        <w:bidi w:val="0"/>
        <w:spacing w:line="560" w:lineRule="exact"/>
        <w:ind w:firstLine="0" w:firstLineChars="0"/>
        <w:jc w:val="center"/>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lang w:eastAsia="zh-CN"/>
        </w:rPr>
        <w:t>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eastAsia" w:ascii="仿宋_GB2312" w:hAnsi="仿宋_GB2312" w:eastAsia="仿宋_GB2312" w:cs="仿宋_GB2312"/>
          <w:snapToGrid w:val="0"/>
          <w:color w:val="000000"/>
          <w:kern w:val="0"/>
          <w:sz w:val="32"/>
          <w:szCs w:val="32"/>
          <w:highlight w:val="none"/>
        </w:rPr>
        <w:t>公共资源交易中心</w:t>
      </w:r>
    </w:p>
    <w:p w14:paraId="3D739283">
      <w:pPr>
        <w:keepNext w:val="0"/>
        <w:keepLines w:val="0"/>
        <w:pageBreakBefore w:val="0"/>
        <w:widowControl w:val="0"/>
        <w:kinsoku/>
        <w:wordWrap/>
        <w:overflowPunct/>
        <w:autoSpaceDN/>
        <w:bidi w:val="0"/>
        <w:spacing w:line="560" w:lineRule="exact"/>
        <w:ind w:firstLine="0" w:firstLineChars="0"/>
        <w:jc w:val="center"/>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20</w:t>
      </w:r>
      <w:r>
        <w:rPr>
          <w:rFonts w:hint="eastAsia" w:ascii="仿宋_GB2312" w:hAnsi="仿宋_GB2312" w:eastAsia="仿宋_GB2312" w:cs="仿宋_GB2312"/>
          <w:snapToGrid w:val="0"/>
          <w:color w:val="000000"/>
          <w:kern w:val="0"/>
          <w:sz w:val="32"/>
          <w:szCs w:val="32"/>
          <w:highlight w:val="none"/>
          <w:lang w:val="en-US" w:eastAsia="zh-CN"/>
        </w:rPr>
        <w:t>25</w:t>
      </w:r>
      <w:r>
        <w:rPr>
          <w:rFonts w:hint="eastAsia" w:ascii="仿宋_GB2312" w:hAnsi="仿宋_GB2312" w:eastAsia="仿宋_GB2312" w:cs="仿宋_GB2312"/>
          <w:snapToGrid w:val="0"/>
          <w:color w:val="000000"/>
          <w:kern w:val="0"/>
          <w:sz w:val="32"/>
          <w:szCs w:val="32"/>
          <w:highlight w:val="none"/>
        </w:rPr>
        <w:t>年</w:t>
      </w:r>
      <w:r>
        <w:rPr>
          <w:rFonts w:hint="eastAsia" w:ascii="仿宋_GB2312" w:hAnsi="仿宋_GB2312" w:eastAsia="仿宋_GB2312" w:cs="仿宋_GB2312"/>
          <w:snapToGrid w:val="0"/>
          <w:color w:val="000000"/>
          <w:kern w:val="0"/>
          <w:sz w:val="32"/>
          <w:szCs w:val="32"/>
          <w:highlight w:val="none"/>
          <w:lang w:val="en-US" w:eastAsia="zh-CN"/>
        </w:rPr>
        <w:t>12</w:t>
      </w:r>
      <w:r>
        <w:rPr>
          <w:rFonts w:hint="eastAsia" w:ascii="仿宋_GB2312" w:hAnsi="仿宋_GB2312" w:eastAsia="仿宋_GB2312" w:cs="仿宋_GB2312"/>
          <w:snapToGrid w:val="0"/>
          <w:color w:val="000000"/>
          <w:kern w:val="0"/>
          <w:sz w:val="32"/>
          <w:szCs w:val="32"/>
          <w:highlight w:val="none"/>
        </w:rPr>
        <w:t>月</w:t>
      </w:r>
    </w:p>
    <w:p w14:paraId="1F5F1B6B">
      <w:pPr>
        <w:keepNext w:val="0"/>
        <w:keepLines w:val="0"/>
        <w:pageBreakBefore w:val="0"/>
        <w:widowControl w:val="0"/>
        <w:kinsoku/>
        <w:wordWrap/>
        <w:overflowPunct/>
        <w:autoSpaceDN/>
        <w:bidi w:val="0"/>
        <w:spacing w:line="560" w:lineRule="exact"/>
        <w:ind w:firstLine="0" w:firstLineChars="0"/>
        <w:jc w:val="center"/>
        <w:rPr>
          <w:rFonts w:hint="default" w:ascii="Times New Roman" w:hAnsi="Times New Roman" w:eastAsia="仿宋" w:cs="Times New Roman"/>
          <w:snapToGrid w:val="0"/>
          <w:color w:val="000000"/>
          <w:kern w:val="0"/>
          <w:sz w:val="32"/>
          <w:szCs w:val="32"/>
          <w:highlight w:val="none"/>
        </w:rPr>
      </w:pPr>
    </w:p>
    <w:p w14:paraId="100E83FE">
      <w:pPr>
        <w:keepNext w:val="0"/>
        <w:keepLines w:val="0"/>
        <w:pageBreakBefore w:val="0"/>
        <w:widowControl w:val="0"/>
        <w:kinsoku/>
        <w:wordWrap/>
        <w:overflowPunct/>
        <w:autoSpaceDN/>
        <w:bidi w:val="0"/>
        <w:spacing w:line="560" w:lineRule="exact"/>
        <w:ind w:firstLine="0" w:firstLineChars="0"/>
        <w:jc w:val="center"/>
        <w:rPr>
          <w:rFonts w:hint="default" w:ascii="Times New Roman" w:hAnsi="Times New Roman" w:eastAsia="仿宋" w:cs="Times New Roman"/>
          <w:snapToGrid w:val="0"/>
          <w:color w:val="000000"/>
          <w:kern w:val="0"/>
          <w:sz w:val="32"/>
          <w:szCs w:val="32"/>
          <w:highlight w:val="none"/>
        </w:rPr>
      </w:pPr>
    </w:p>
    <w:p w14:paraId="51FC42C1">
      <w:pPr>
        <w:keepNext w:val="0"/>
        <w:keepLines w:val="0"/>
        <w:pageBreakBefore w:val="0"/>
        <w:widowControl w:val="0"/>
        <w:kinsoku/>
        <w:wordWrap/>
        <w:overflowPunct/>
        <w:autoSpaceDN/>
        <w:bidi w:val="0"/>
        <w:spacing w:line="560" w:lineRule="exact"/>
        <w:ind w:firstLine="0" w:firstLineChars="0"/>
        <w:jc w:val="center"/>
        <w:rPr>
          <w:rFonts w:hint="eastAsia" w:ascii="仿宋" w:hAnsi="仿宋" w:cs="仿宋"/>
          <w:snapToGrid w:val="0"/>
          <w:color w:val="000000"/>
          <w:kern w:val="0"/>
          <w:sz w:val="32"/>
          <w:szCs w:val="32"/>
          <w:highlight w:val="none"/>
        </w:rPr>
      </w:pPr>
    </w:p>
    <w:p w14:paraId="2ACA3B1D">
      <w:pPr>
        <w:keepNext w:val="0"/>
        <w:keepLines w:val="0"/>
        <w:pageBreakBefore w:val="0"/>
        <w:widowControl w:val="0"/>
        <w:kinsoku/>
        <w:wordWrap/>
        <w:overflowPunct/>
        <w:autoSpaceDN/>
        <w:bidi w:val="0"/>
        <w:spacing w:line="560" w:lineRule="exact"/>
        <w:ind w:firstLine="0" w:firstLineChars="0"/>
        <w:jc w:val="center"/>
        <w:rPr>
          <w:rFonts w:hint="eastAsia" w:ascii="仿宋" w:hAnsi="仿宋" w:cs="仿宋"/>
          <w:snapToGrid w:val="0"/>
          <w:color w:val="000000"/>
          <w:kern w:val="0"/>
          <w:sz w:val="32"/>
          <w:szCs w:val="32"/>
          <w:highlight w:val="none"/>
        </w:rPr>
      </w:pPr>
    </w:p>
    <w:p w14:paraId="261CACEF">
      <w:pPr>
        <w:keepNext w:val="0"/>
        <w:keepLines w:val="0"/>
        <w:pageBreakBefore w:val="0"/>
        <w:widowControl w:val="0"/>
        <w:kinsoku/>
        <w:wordWrap/>
        <w:overflowPunct/>
        <w:autoSpaceDN/>
        <w:bidi w:val="0"/>
        <w:spacing w:line="560" w:lineRule="exact"/>
        <w:ind w:firstLine="0" w:firstLineChars="0"/>
        <w:jc w:val="center"/>
        <w:rPr>
          <w:rFonts w:hint="eastAsia" w:ascii="仿宋" w:hAnsi="仿宋" w:cs="仿宋"/>
          <w:snapToGrid w:val="0"/>
          <w:color w:val="000000"/>
          <w:kern w:val="0"/>
          <w:sz w:val="32"/>
          <w:szCs w:val="32"/>
          <w:highlight w:val="none"/>
        </w:rPr>
      </w:pPr>
    </w:p>
    <w:p w14:paraId="6C426C32">
      <w:pPr>
        <w:keepNext w:val="0"/>
        <w:keepLines w:val="0"/>
        <w:pageBreakBefore w:val="0"/>
        <w:widowControl w:val="0"/>
        <w:kinsoku/>
        <w:wordWrap/>
        <w:overflowPunct/>
        <w:autoSpaceDN/>
        <w:bidi w:val="0"/>
        <w:spacing w:line="560" w:lineRule="exact"/>
        <w:ind w:firstLine="0" w:firstLineChars="0"/>
        <w:jc w:val="center"/>
        <w:rPr>
          <w:rFonts w:hint="eastAsia" w:ascii="方正仿宋简体" w:hAnsi="方正仿宋简体" w:eastAsia="方正仿宋简体" w:cs="方正仿宋简体"/>
          <w:snapToGrid w:val="0"/>
          <w:color w:val="000000"/>
          <w:kern w:val="0"/>
          <w:sz w:val="44"/>
          <w:szCs w:val="44"/>
          <w:highlight w:val="none"/>
        </w:rPr>
      </w:pPr>
      <w:r>
        <w:rPr>
          <w:rFonts w:hint="eastAsia" w:ascii="方正仿宋简体" w:hAnsi="方正仿宋简体" w:eastAsia="方正仿宋简体" w:cs="方正仿宋简体"/>
          <w:snapToGrid w:val="0"/>
          <w:color w:val="000000"/>
          <w:kern w:val="0"/>
          <w:sz w:val="44"/>
          <w:szCs w:val="44"/>
          <w:highlight w:val="none"/>
        </w:rPr>
        <w:t>目  录</w:t>
      </w:r>
    </w:p>
    <w:p w14:paraId="0EB4909C">
      <w:pPr>
        <w:keepNext w:val="0"/>
        <w:keepLines w:val="0"/>
        <w:pageBreakBefore w:val="0"/>
        <w:widowControl w:val="0"/>
        <w:kinsoku/>
        <w:wordWrap/>
        <w:overflowPunct/>
        <w:autoSpaceDN/>
        <w:bidi w:val="0"/>
        <w:spacing w:line="560" w:lineRule="exact"/>
        <w:ind w:firstLine="0" w:firstLineChars="0"/>
        <w:jc w:val="left"/>
        <w:rPr>
          <w:rFonts w:hint="eastAsia" w:ascii="仿宋" w:hAnsi="仿宋" w:cs="仿宋"/>
          <w:snapToGrid w:val="0"/>
          <w:color w:val="000000"/>
          <w:kern w:val="0"/>
          <w:sz w:val="32"/>
          <w:szCs w:val="32"/>
          <w:highlight w:val="none"/>
        </w:rPr>
      </w:pPr>
    </w:p>
    <w:p w14:paraId="59F65843">
      <w:pPr>
        <w:keepNext w:val="0"/>
        <w:keepLines w:val="0"/>
        <w:pageBreakBefore w:val="0"/>
        <w:widowControl w:val="0"/>
        <w:kinsoku/>
        <w:wordWrap/>
        <w:overflowPunct/>
        <w:autoSpaceDN/>
        <w:bidi w:val="0"/>
        <w:spacing w:line="560" w:lineRule="exact"/>
        <w:ind w:firstLine="0" w:firstLineChars="0"/>
        <w:jc w:val="left"/>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第一章 竞买须知</w:t>
      </w:r>
    </w:p>
    <w:p w14:paraId="2BF9155B">
      <w:pPr>
        <w:keepNext w:val="0"/>
        <w:keepLines w:val="0"/>
        <w:pageBreakBefore w:val="0"/>
        <w:widowControl w:val="0"/>
        <w:kinsoku/>
        <w:wordWrap/>
        <w:overflowPunct/>
        <w:autoSpaceDN/>
        <w:bidi w:val="0"/>
        <w:spacing w:line="560" w:lineRule="exact"/>
        <w:ind w:firstLine="0" w:firstLineChars="0"/>
        <w:jc w:val="left"/>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第二章 挂牌竞价规则</w:t>
      </w:r>
    </w:p>
    <w:p w14:paraId="1CC5744C">
      <w:pPr>
        <w:keepNext w:val="0"/>
        <w:keepLines w:val="0"/>
        <w:pageBreakBefore w:val="0"/>
        <w:widowControl w:val="0"/>
        <w:kinsoku/>
        <w:wordWrap/>
        <w:overflowPunct/>
        <w:autoSpaceDN/>
        <w:bidi w:val="0"/>
        <w:spacing w:line="560" w:lineRule="exact"/>
        <w:ind w:firstLine="0" w:firstLineChars="0"/>
        <w:jc w:val="left"/>
        <w:rPr>
          <w:rFonts w:hint="eastAsia" w:ascii="仿宋_GB2312" w:hAnsi="仿宋_GB2312" w:eastAsia="仿宋_GB2312" w:cs="仿宋_GB2312"/>
          <w:color w:val="000000"/>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napToGrid w:val="0"/>
          <w:color w:val="000000"/>
          <w:kern w:val="0"/>
          <w:sz w:val="32"/>
          <w:szCs w:val="32"/>
          <w:highlight w:val="none"/>
        </w:rPr>
        <w:t>第三章 其他材料</w:t>
      </w:r>
    </w:p>
    <w:p w14:paraId="4DEF5BBD">
      <w:pPr>
        <w:keepNext w:val="0"/>
        <w:keepLines w:val="0"/>
        <w:pageBreakBefore w:val="0"/>
        <w:widowControl w:val="0"/>
        <w:kinsoku/>
        <w:wordWrap/>
        <w:overflowPunct/>
        <w:autoSpaceDN/>
        <w:bidi w:val="0"/>
        <w:spacing w:before="340" w:beforeLines="0" w:beforeAutospacing="0" w:after="330" w:afterLines="0" w:afterAutospacing="0" w:line="560" w:lineRule="exact"/>
        <w:jc w:val="center"/>
        <w:outlineLvl w:val="0"/>
        <w:rPr>
          <w:rFonts w:hint="eastAsia" w:ascii="黑体" w:hAnsi="黑体" w:eastAsia="黑体" w:cs="黑体"/>
          <w:b w:val="0"/>
          <w:bCs w:val="0"/>
          <w:snapToGrid w:val="0"/>
          <w:color w:val="000000"/>
          <w:kern w:val="44"/>
          <w:sz w:val="32"/>
          <w:szCs w:val="32"/>
          <w:highlight w:val="none"/>
          <w:lang w:val="en-US" w:eastAsia="zh-CN" w:bidi="ar-SA"/>
        </w:rPr>
      </w:pPr>
      <w:bookmarkStart w:id="0" w:name="_Toc7534"/>
      <w:r>
        <w:rPr>
          <w:rFonts w:hint="eastAsia" w:ascii="黑体" w:hAnsi="黑体" w:eastAsia="黑体" w:cs="黑体"/>
          <w:b w:val="0"/>
          <w:bCs w:val="0"/>
          <w:snapToGrid w:val="0"/>
          <w:color w:val="000000"/>
          <w:kern w:val="44"/>
          <w:sz w:val="32"/>
          <w:szCs w:val="32"/>
          <w:highlight w:val="none"/>
          <w:lang w:val="en-US" w:eastAsia="zh-CN" w:bidi="ar-SA"/>
        </w:rPr>
        <w:t xml:space="preserve">第一章 </w:t>
      </w:r>
      <w:bookmarkEnd w:id="0"/>
      <w:r>
        <w:rPr>
          <w:rFonts w:hint="eastAsia" w:ascii="黑体" w:hAnsi="黑体" w:eastAsia="黑体" w:cs="黑体"/>
          <w:b w:val="0"/>
          <w:bCs w:val="0"/>
          <w:snapToGrid w:val="0"/>
          <w:color w:val="000000"/>
          <w:kern w:val="44"/>
          <w:sz w:val="32"/>
          <w:szCs w:val="32"/>
          <w:highlight w:val="none"/>
          <w:lang w:val="en-US" w:eastAsia="zh-CN" w:bidi="ar-SA"/>
        </w:rPr>
        <w:t>竞买须知</w:t>
      </w:r>
    </w:p>
    <w:p w14:paraId="39AAD739">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rPr>
      </w:pPr>
      <w:bookmarkStart w:id="1" w:name="_Toc23315"/>
      <w:bookmarkEnd w:id="1"/>
      <w:bookmarkStart w:id="2" w:name="_Toc466928017"/>
      <w:bookmarkEnd w:id="2"/>
      <w:bookmarkStart w:id="3" w:name="_Toc467235654"/>
      <w:bookmarkEnd w:id="3"/>
      <w:bookmarkStart w:id="4" w:name="_Toc22159"/>
      <w:bookmarkEnd w:id="4"/>
      <w:bookmarkStart w:id="5" w:name="_Toc11629"/>
      <w:bookmarkEnd w:id="5"/>
      <w:bookmarkStart w:id="6" w:name="_Toc30570"/>
      <w:r>
        <w:rPr>
          <w:rFonts w:hint="eastAsia" w:ascii="黑体" w:hAnsi="黑体" w:eastAsia="黑体" w:cs="黑体"/>
          <w:b w:val="0"/>
          <w:bCs w:val="0"/>
          <w:snapToGrid w:val="0"/>
          <w:color w:val="000000"/>
          <w:kern w:val="0"/>
          <w:sz w:val="32"/>
          <w:szCs w:val="32"/>
          <w:highlight w:val="none"/>
        </w:rPr>
        <w:t>一、总则</w:t>
      </w:r>
      <w:bookmarkEnd w:id="6"/>
    </w:p>
    <w:p w14:paraId="2A150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依据</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eastAsia="zh-CN"/>
        </w:rPr>
        <w:t>《</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rPr>
        <w:t>中华人民共和国矿产资源法</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eastAsia="zh-CN"/>
        </w:rPr>
        <w:t>》</w:t>
      </w:r>
      <w:r>
        <w:rPr>
          <w:rFonts w:hint="eastAsia" w:ascii="仿宋_GB2312" w:hAnsi="仿宋_GB2312" w:eastAsia="仿宋_GB2312" w:cs="仿宋_GB2312"/>
          <w:snapToGrid w:val="0"/>
          <w:kern w:val="0"/>
          <w:sz w:val="32"/>
          <w:szCs w:val="32"/>
          <w:highlight w:val="none"/>
        </w:rPr>
        <w:t>《自然资源部关于</w:t>
      </w:r>
      <w:r>
        <w:rPr>
          <w:rFonts w:hint="eastAsia" w:ascii="仿宋_GB2312" w:hAnsi="仿宋_GB2312" w:eastAsia="仿宋_GB2312" w:cs="仿宋_GB2312"/>
          <w:snapToGrid w:val="0"/>
          <w:kern w:val="0"/>
          <w:sz w:val="32"/>
          <w:szCs w:val="32"/>
          <w:highlight w:val="none"/>
          <w:lang w:val="en-US" w:eastAsia="zh-CN"/>
        </w:rPr>
        <w:t>印发矿业权出让交易规则的通知</w:t>
      </w:r>
      <w:r>
        <w:rPr>
          <w:rFonts w:hint="eastAsia" w:ascii="仿宋_GB2312" w:hAnsi="仿宋_GB2312" w:eastAsia="仿宋_GB2312" w:cs="仿宋_GB2312"/>
          <w:snapToGrid w:val="0"/>
          <w:kern w:val="0"/>
          <w:sz w:val="32"/>
          <w:szCs w:val="32"/>
          <w:highlight w:val="none"/>
        </w:rPr>
        <w:t>》（自然资规〔2023〕</w:t>
      </w:r>
      <w:r>
        <w:rPr>
          <w:rFonts w:hint="eastAsia" w:ascii="仿宋_GB2312" w:hAnsi="仿宋_GB2312" w:eastAsia="仿宋_GB2312" w:cs="仿宋_GB2312"/>
          <w:snapToGrid w:val="0"/>
          <w:kern w:val="0"/>
          <w:sz w:val="32"/>
          <w:szCs w:val="32"/>
          <w:highlight w:val="none"/>
          <w:lang w:val="en-US" w:eastAsia="zh-CN"/>
        </w:rPr>
        <w:t>1</w:t>
      </w:r>
      <w:r>
        <w:rPr>
          <w:rFonts w:hint="eastAsia" w:ascii="仿宋_GB2312" w:hAnsi="仿宋_GB2312" w:eastAsia="仿宋_GB2312" w:cs="仿宋_GB2312"/>
          <w:snapToGrid w:val="0"/>
          <w:kern w:val="0"/>
          <w:sz w:val="32"/>
          <w:szCs w:val="32"/>
          <w:highlight w:val="none"/>
        </w:rPr>
        <w:t>号）《自然资源部关于深化矿产资源管理改革若干事项的意见》（自然资规〔2023〕6号）和《新疆</w:t>
      </w:r>
      <w:r>
        <w:rPr>
          <w:rFonts w:hint="eastAsia" w:ascii="仿宋_GB2312" w:hAnsi="仿宋_GB2312" w:eastAsia="仿宋_GB2312" w:cs="仿宋_GB2312"/>
          <w:snapToGrid w:val="0"/>
          <w:kern w:val="0"/>
          <w:sz w:val="32"/>
          <w:szCs w:val="32"/>
          <w:highlight w:val="none"/>
          <w:lang w:val="en-US" w:eastAsia="zh-CN"/>
        </w:rPr>
        <w:t>生产建设兵团</w:t>
      </w:r>
      <w:r>
        <w:rPr>
          <w:rFonts w:hint="eastAsia" w:ascii="仿宋_GB2312" w:hAnsi="仿宋_GB2312" w:eastAsia="仿宋_GB2312" w:cs="仿宋_GB2312"/>
          <w:snapToGrid w:val="0"/>
          <w:kern w:val="0"/>
          <w:sz w:val="32"/>
          <w:szCs w:val="32"/>
          <w:highlight w:val="none"/>
        </w:rPr>
        <w:t>矿产资源管理暂行办法》（新</w:t>
      </w:r>
      <w:r>
        <w:rPr>
          <w:rFonts w:hint="eastAsia" w:ascii="仿宋_GB2312" w:hAnsi="仿宋_GB2312" w:eastAsia="仿宋_GB2312" w:cs="仿宋_GB2312"/>
          <w:snapToGrid w:val="0"/>
          <w:kern w:val="0"/>
          <w:sz w:val="32"/>
          <w:szCs w:val="32"/>
          <w:highlight w:val="none"/>
          <w:lang w:val="en-US" w:eastAsia="zh-CN"/>
        </w:rPr>
        <w:t>兵发</w:t>
      </w:r>
      <w:r>
        <w:rPr>
          <w:rFonts w:hint="eastAsia" w:ascii="仿宋_GB2312" w:hAnsi="仿宋_GB2312" w:eastAsia="仿宋_GB2312" w:cs="仿宋_GB2312"/>
          <w:snapToGrid w:val="0"/>
          <w:kern w:val="0"/>
          <w:sz w:val="32"/>
          <w:szCs w:val="32"/>
          <w:highlight w:val="none"/>
        </w:rPr>
        <w:t>〔202</w:t>
      </w:r>
      <w:r>
        <w:rPr>
          <w:rFonts w:hint="eastAsia" w:ascii="仿宋_GB2312" w:hAnsi="仿宋_GB2312" w:eastAsia="仿宋_GB2312" w:cs="仿宋_GB2312"/>
          <w:snapToGrid w:val="0"/>
          <w:kern w:val="0"/>
          <w:sz w:val="32"/>
          <w:szCs w:val="32"/>
          <w:highlight w:val="none"/>
          <w:lang w:val="en-US" w:eastAsia="zh-CN"/>
        </w:rPr>
        <w:t>3</w:t>
      </w:r>
      <w:r>
        <w:rPr>
          <w:rFonts w:hint="eastAsia" w:ascii="仿宋_GB2312" w:hAnsi="仿宋_GB2312" w:eastAsia="仿宋_GB2312" w:cs="仿宋_GB2312"/>
          <w:snapToGrid w:val="0"/>
          <w:kern w:val="0"/>
          <w:sz w:val="32"/>
          <w:szCs w:val="32"/>
          <w:highlight w:val="none"/>
        </w:rPr>
        <w:t>〕</w:t>
      </w:r>
      <w:r>
        <w:rPr>
          <w:rFonts w:hint="eastAsia" w:ascii="仿宋_GB2312" w:hAnsi="仿宋_GB2312" w:eastAsia="仿宋_GB2312" w:cs="仿宋_GB2312"/>
          <w:snapToGrid w:val="0"/>
          <w:kern w:val="0"/>
          <w:sz w:val="32"/>
          <w:szCs w:val="32"/>
          <w:highlight w:val="none"/>
          <w:lang w:val="en-US" w:eastAsia="zh-CN"/>
        </w:rPr>
        <w:t>1</w:t>
      </w:r>
      <w:r>
        <w:rPr>
          <w:rFonts w:hint="eastAsia" w:ascii="仿宋_GB2312" w:hAnsi="仿宋_GB2312" w:eastAsia="仿宋_GB2312" w:cs="仿宋_GB2312"/>
          <w:snapToGrid w:val="0"/>
          <w:kern w:val="0"/>
          <w:sz w:val="32"/>
          <w:szCs w:val="32"/>
          <w:highlight w:val="none"/>
        </w:rPr>
        <w:t>1号）</w:t>
      </w:r>
      <w:r>
        <w:rPr>
          <w:rFonts w:hint="eastAsia" w:ascii="仿宋_GB2312" w:hAnsi="仿宋_GB2312" w:eastAsia="仿宋_GB2312" w:cs="仿宋_GB2312"/>
          <w:snapToGrid w:val="0"/>
          <w:color w:val="000000"/>
          <w:kern w:val="0"/>
          <w:sz w:val="32"/>
          <w:szCs w:val="32"/>
          <w:highlight w:val="none"/>
        </w:rPr>
        <w:t>等有关法律法规和规定，经</w:t>
      </w:r>
      <w:r>
        <w:rPr>
          <w:rFonts w:hint="eastAsia" w:ascii="仿宋_GB2312" w:hAnsi="仿宋_GB2312" w:eastAsia="仿宋_GB2312" w:cs="仿宋_GB2312"/>
          <w:snapToGrid w:val="0"/>
          <w:color w:val="000000"/>
          <w:kern w:val="0"/>
          <w:sz w:val="32"/>
          <w:szCs w:val="32"/>
          <w:highlight w:val="none"/>
          <w:lang w:val="en-US" w:eastAsia="zh-CN"/>
        </w:rPr>
        <w:t>兵团</w:t>
      </w:r>
      <w:r>
        <w:rPr>
          <w:rFonts w:hint="eastAsia" w:ascii="仿宋_GB2312" w:hAnsi="仿宋_GB2312" w:eastAsia="仿宋_GB2312" w:cs="仿宋_GB2312"/>
          <w:snapToGrid w:val="0"/>
          <w:color w:val="000000"/>
          <w:kern w:val="0"/>
          <w:sz w:val="32"/>
          <w:szCs w:val="32"/>
          <w:highlight w:val="none"/>
        </w:rPr>
        <w:t>批准，</w:t>
      </w:r>
      <w:r>
        <w:rPr>
          <w:rFonts w:hint="eastAsia" w:ascii="仿宋_GB2312" w:hAnsi="仿宋_GB2312" w:eastAsia="仿宋_GB2312" w:cs="仿宋_GB2312"/>
          <w:snapToGrid w:val="0"/>
          <w:color w:val="000000"/>
          <w:kern w:val="0"/>
          <w:sz w:val="32"/>
          <w:szCs w:val="32"/>
          <w:highlight w:val="none"/>
          <w:lang w:eastAsia="zh-CN"/>
        </w:rPr>
        <w:t>由</w:t>
      </w:r>
      <w:r>
        <w:rPr>
          <w:rFonts w:hint="eastAsia" w:ascii="仿宋_GB2312" w:hAnsi="仿宋_GB2312" w:eastAsia="仿宋_GB2312" w:cs="仿宋_GB2312"/>
          <w:snapToGrid w:val="0"/>
          <w:color w:val="000000"/>
          <w:kern w:val="0"/>
          <w:sz w:val="32"/>
          <w:szCs w:val="32"/>
          <w:highlight w:val="none"/>
          <w:lang w:val="en-US" w:eastAsia="zh-CN"/>
        </w:rPr>
        <w:t>新疆生产建设兵团</w:t>
      </w:r>
      <w:r>
        <w:rPr>
          <w:rFonts w:hint="eastAsia" w:ascii="仿宋_GB2312" w:hAnsi="仿宋_GB2312" w:eastAsia="仿宋_GB2312" w:cs="仿宋_GB2312"/>
          <w:snapToGrid w:val="0"/>
          <w:color w:val="000000"/>
          <w:kern w:val="0"/>
          <w:sz w:val="32"/>
          <w:szCs w:val="32"/>
          <w:highlight w:val="none"/>
        </w:rPr>
        <w:t>公共资源交易中心</w:t>
      </w:r>
      <w:r>
        <w:rPr>
          <w:rFonts w:hint="eastAsia" w:ascii="仿宋_GB2312" w:hAnsi="仿宋_GB2312" w:eastAsia="仿宋_GB2312" w:cs="仿宋_GB2312"/>
          <w:snapToGrid w:val="0"/>
          <w:color w:val="000000"/>
          <w:kern w:val="0"/>
          <w:sz w:val="32"/>
          <w:szCs w:val="32"/>
          <w:highlight w:val="none"/>
          <w:lang w:eastAsia="zh-CN"/>
        </w:rPr>
        <w:t>（以下简称交易中心）组织实施探矿权挂牌出让活动</w:t>
      </w:r>
      <w:r>
        <w:rPr>
          <w:rFonts w:hint="eastAsia" w:ascii="仿宋_GB2312" w:hAnsi="仿宋_GB2312" w:eastAsia="仿宋_GB2312" w:cs="仿宋_GB2312"/>
          <w:snapToGrid w:val="0"/>
          <w:color w:val="000000"/>
          <w:kern w:val="0"/>
          <w:sz w:val="32"/>
          <w:szCs w:val="32"/>
          <w:highlight w:val="none"/>
        </w:rPr>
        <w:t>。</w:t>
      </w:r>
    </w:p>
    <w:p w14:paraId="5586434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rPr>
      </w:pPr>
      <w:r>
        <w:rPr>
          <w:rFonts w:hint="eastAsia" w:ascii="黑体" w:hAnsi="黑体" w:eastAsia="黑体" w:cs="黑体"/>
          <w:b w:val="0"/>
          <w:bCs w:val="0"/>
          <w:snapToGrid w:val="0"/>
          <w:color w:val="000000"/>
          <w:kern w:val="0"/>
          <w:sz w:val="32"/>
          <w:szCs w:val="32"/>
          <w:highlight w:val="none"/>
        </w:rPr>
        <w:t>二、挂牌文件</w:t>
      </w:r>
    </w:p>
    <w:p w14:paraId="73A8B0E0">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bookmarkStart w:id="7" w:name="_Toc37108511"/>
      <w:bookmarkEnd w:id="7"/>
      <w:r>
        <w:rPr>
          <w:rFonts w:hint="eastAsia" w:ascii="楷体_GB2312" w:hAnsi="楷体_GB2312" w:eastAsia="楷体_GB2312" w:cs="楷体_GB2312"/>
          <w:b w:val="0"/>
          <w:bCs w:val="0"/>
          <w:snapToGrid w:val="0"/>
          <w:color w:val="000000"/>
          <w:kern w:val="0"/>
          <w:sz w:val="32"/>
          <w:szCs w:val="21"/>
          <w:highlight w:val="none"/>
        </w:rPr>
        <w:t>（一）挂牌文件的解释、澄清</w:t>
      </w:r>
    </w:p>
    <w:p w14:paraId="7D0DE4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1.意向竞买人获取挂牌文件后，应仔细</w:t>
      </w:r>
      <w:r>
        <w:rPr>
          <w:rFonts w:hint="default" w:ascii="仿宋_GB2312" w:hAnsi="仿宋_GB2312" w:eastAsia="仿宋_GB2312" w:cs="仿宋_GB2312"/>
          <w:snapToGrid w:val="0"/>
          <w:color w:val="000000"/>
          <w:kern w:val="0"/>
          <w:sz w:val="32"/>
          <w:szCs w:val="32"/>
          <w:highlight w:val="none"/>
          <w:lang w:eastAsia="zh-CN"/>
        </w:rPr>
        <w:t>阅读</w:t>
      </w:r>
      <w:r>
        <w:rPr>
          <w:rFonts w:hint="default" w:ascii="仿宋_GB2312" w:hAnsi="仿宋_GB2312" w:eastAsia="仿宋_GB2312" w:cs="仿宋_GB2312"/>
          <w:snapToGrid w:val="0"/>
          <w:color w:val="000000"/>
          <w:kern w:val="0"/>
          <w:sz w:val="32"/>
          <w:szCs w:val="32"/>
          <w:highlight w:val="none"/>
        </w:rPr>
        <w:t>挂牌文件中所有的事项、格式、条款和规范要求等，若意向竞买人没有按本挂牌文件要求提交全部资料，其风险自行承担，并根据有关条款规定，该竞买申请将被拒绝。</w:t>
      </w:r>
    </w:p>
    <w:p w14:paraId="2D6C7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2.意向竞买人若对挂牌文件有疑问，应于挂牌公告截止时间5个工作日前以书面形式向交易平台提出澄清要求。</w:t>
      </w:r>
    </w:p>
    <w:p w14:paraId="50D0C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3.根据意向竞买人的要求对挂牌文件做出的澄清，交易平台将于挂牌公告截止时间3个工作日前予以答复。</w:t>
      </w:r>
    </w:p>
    <w:p w14:paraId="448EF377">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（二）挂牌文件的修改、补充</w:t>
      </w:r>
    </w:p>
    <w:p w14:paraId="13F65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1.交易平台根据需要主动对挂牌文件进行必要的修改、补充，交易平台将于挂牌公告截止时间前3个工作日将修改补充内容以公告形式在新疆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default" w:ascii="仿宋_GB2312" w:hAnsi="仿宋_GB2312" w:eastAsia="仿宋_GB2312" w:cs="仿宋_GB2312"/>
          <w:snapToGrid w:val="0"/>
          <w:color w:val="000000"/>
          <w:kern w:val="0"/>
          <w:sz w:val="32"/>
          <w:szCs w:val="32"/>
          <w:highlight w:val="none"/>
        </w:rPr>
        <w:t>自然资源</w:t>
      </w:r>
      <w:r>
        <w:rPr>
          <w:rFonts w:hint="eastAsia" w:ascii="仿宋_GB2312" w:hAnsi="仿宋_GB2312" w:eastAsia="仿宋_GB2312" w:cs="仿宋_GB2312"/>
          <w:snapToGrid w:val="0"/>
          <w:color w:val="000000"/>
          <w:kern w:val="0"/>
          <w:sz w:val="32"/>
          <w:szCs w:val="32"/>
          <w:highlight w:val="none"/>
          <w:lang w:val="en-US" w:eastAsia="zh-CN"/>
        </w:rPr>
        <w:t>局</w:t>
      </w:r>
      <w:r>
        <w:rPr>
          <w:rFonts w:hint="default" w:ascii="仿宋_GB2312" w:hAnsi="仿宋_GB2312" w:eastAsia="仿宋_GB2312" w:cs="仿宋_GB2312"/>
          <w:snapToGrid w:val="0"/>
          <w:color w:val="000000"/>
          <w:kern w:val="0"/>
          <w:sz w:val="32"/>
          <w:szCs w:val="32"/>
          <w:highlight w:val="none"/>
        </w:rPr>
        <w:t>网站、</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w:t>
      </w:r>
      <w:r>
        <w:rPr>
          <w:rFonts w:hint="eastAsia" w:ascii="仿宋_GB2312" w:hAnsi="仿宋_GB2312" w:eastAsia="仿宋_GB2312" w:cs="仿宋_GB2312"/>
          <w:snapToGrid w:val="0"/>
          <w:color w:val="000000"/>
          <w:kern w:val="0"/>
          <w:sz w:val="32"/>
          <w:szCs w:val="32"/>
          <w:highlight w:val="none"/>
          <w:lang w:val="en-US" w:eastAsia="zh-CN"/>
        </w:rPr>
        <w:t>网站</w:t>
      </w:r>
      <w:r>
        <w:rPr>
          <w:rFonts w:hint="default" w:ascii="仿宋_GB2312" w:hAnsi="仿宋_GB2312" w:eastAsia="仿宋_GB2312" w:cs="仿宋_GB2312"/>
          <w:snapToGrid w:val="0"/>
          <w:color w:val="000000"/>
          <w:kern w:val="0"/>
          <w:sz w:val="32"/>
          <w:szCs w:val="32"/>
          <w:highlight w:val="none"/>
        </w:rPr>
        <w:t>发布。</w:t>
      </w:r>
    </w:p>
    <w:p w14:paraId="051AB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2.挂牌文件的修改、补充内容一旦公告，将作为挂牌文件的组成部分。当挂牌文件的修改、补充等在同一内容的表述上不一致时，以最后发出的公告为准。</w:t>
      </w:r>
    </w:p>
    <w:p w14:paraId="3D7F6645">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（三）挂牌文件变更的通知</w:t>
      </w:r>
    </w:p>
    <w:p w14:paraId="325C0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本次挂牌有关的信息如果发生变更，将在</w:t>
      </w:r>
      <w:r>
        <w:rPr>
          <w:rFonts w:hint="default" w:ascii="仿宋_GB2312" w:hAnsi="仿宋_GB2312" w:eastAsia="仿宋_GB2312" w:cs="仿宋_GB2312"/>
          <w:snapToGrid w:val="0"/>
          <w:color w:val="000000"/>
          <w:kern w:val="0"/>
          <w:sz w:val="32"/>
          <w:szCs w:val="32"/>
          <w:highlight w:val="none"/>
        </w:rPr>
        <w:t>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default" w:ascii="仿宋_GB2312" w:hAnsi="仿宋_GB2312" w:eastAsia="仿宋_GB2312" w:cs="仿宋_GB2312"/>
          <w:snapToGrid w:val="0"/>
          <w:color w:val="000000"/>
          <w:kern w:val="0"/>
          <w:sz w:val="32"/>
          <w:szCs w:val="32"/>
          <w:highlight w:val="none"/>
        </w:rPr>
        <w:t>自然资源</w:t>
      </w:r>
      <w:r>
        <w:rPr>
          <w:rFonts w:hint="eastAsia" w:ascii="仿宋_GB2312" w:hAnsi="仿宋_GB2312" w:eastAsia="仿宋_GB2312" w:cs="仿宋_GB2312"/>
          <w:snapToGrid w:val="0"/>
          <w:color w:val="000000"/>
          <w:kern w:val="0"/>
          <w:sz w:val="32"/>
          <w:szCs w:val="32"/>
          <w:highlight w:val="none"/>
          <w:lang w:val="en-US" w:eastAsia="zh-CN"/>
        </w:rPr>
        <w:t>局</w:t>
      </w:r>
      <w:r>
        <w:rPr>
          <w:rFonts w:hint="default" w:ascii="仿宋_GB2312" w:hAnsi="仿宋_GB2312" w:eastAsia="仿宋_GB2312" w:cs="仿宋_GB2312"/>
          <w:snapToGrid w:val="0"/>
          <w:color w:val="000000"/>
          <w:kern w:val="0"/>
          <w:sz w:val="32"/>
          <w:szCs w:val="32"/>
          <w:highlight w:val="none"/>
        </w:rPr>
        <w:t>网站、</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w:t>
      </w:r>
      <w:r>
        <w:rPr>
          <w:rFonts w:hint="eastAsia" w:ascii="仿宋_GB2312" w:hAnsi="仿宋_GB2312" w:eastAsia="仿宋_GB2312" w:cs="仿宋_GB2312"/>
          <w:snapToGrid w:val="0"/>
          <w:color w:val="000000"/>
          <w:kern w:val="0"/>
          <w:sz w:val="32"/>
          <w:szCs w:val="32"/>
          <w:highlight w:val="none"/>
          <w:lang w:val="en-US" w:eastAsia="zh-CN"/>
        </w:rPr>
        <w:t>网站</w:t>
      </w:r>
      <w:r>
        <w:rPr>
          <w:rFonts w:hint="eastAsia" w:ascii="仿宋_GB2312" w:hAnsi="仿宋_GB2312" w:eastAsia="仿宋_GB2312" w:cs="仿宋_GB2312"/>
          <w:snapToGrid w:val="0"/>
          <w:color w:val="000000"/>
          <w:kern w:val="0"/>
          <w:sz w:val="32"/>
          <w:szCs w:val="32"/>
          <w:highlight w:val="none"/>
        </w:rPr>
        <w:t>发布，意向竞买人需密切关注。意向竞买人未能及时接收、知悉挂牌文件变动变更信息的，或未按照信息变更后的要求提交相关文件的，自行承担一切后果。</w:t>
      </w:r>
    </w:p>
    <w:p w14:paraId="28853B82">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rPr>
      </w:pPr>
      <w:bookmarkStart w:id="8" w:name="_Toc22344"/>
      <w:bookmarkEnd w:id="8"/>
      <w:r>
        <w:rPr>
          <w:rFonts w:hint="eastAsia" w:ascii="黑体" w:hAnsi="黑体" w:eastAsia="黑体" w:cs="黑体"/>
          <w:b w:val="0"/>
          <w:bCs w:val="0"/>
          <w:snapToGrid w:val="0"/>
          <w:color w:val="000000"/>
          <w:kern w:val="0"/>
          <w:sz w:val="32"/>
          <w:szCs w:val="32"/>
          <w:highlight w:val="none"/>
        </w:rPr>
        <w:t>三、报名、资格审查</w:t>
      </w:r>
    </w:p>
    <w:p w14:paraId="5933D5FE">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（一）报名前准备</w:t>
      </w:r>
    </w:p>
    <w:p w14:paraId="34A49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1.竞买申请人需要首先在</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w:t>
      </w:r>
      <w:r>
        <w:rPr>
          <w:rFonts w:hint="eastAsia" w:ascii="仿宋_GB2312" w:hAnsi="仿宋_GB2312" w:eastAsia="仿宋_GB2312" w:cs="仿宋_GB2312"/>
          <w:snapToGrid w:val="0"/>
          <w:color w:val="000000"/>
          <w:kern w:val="0"/>
          <w:sz w:val="32"/>
          <w:szCs w:val="32"/>
          <w:highlight w:val="none"/>
          <w:lang w:val="en-US" w:eastAsia="zh-CN"/>
        </w:rPr>
        <w:t>平台网站</w:t>
      </w:r>
      <w:r>
        <w:rPr>
          <w:rFonts w:hint="default" w:ascii="仿宋_GB2312" w:hAnsi="仿宋_GB2312" w:eastAsia="仿宋_GB2312" w:cs="仿宋_GB2312"/>
          <w:snapToGrid w:val="0"/>
          <w:color w:val="000000"/>
          <w:kern w:val="0"/>
          <w:sz w:val="32"/>
          <w:szCs w:val="32"/>
          <w:highlight w:val="none"/>
        </w:rPr>
        <w:t>完成网上注册，选择公共资源交易主体类型为“</w:t>
      </w:r>
      <w:r>
        <w:rPr>
          <w:rFonts w:hint="eastAsia" w:ascii="仿宋_GB2312" w:hAnsi="仿宋_GB2312" w:eastAsia="仿宋_GB2312" w:cs="仿宋_GB2312"/>
          <w:snapToGrid w:val="0"/>
          <w:color w:val="000000"/>
          <w:kern w:val="0"/>
          <w:sz w:val="32"/>
          <w:szCs w:val="32"/>
          <w:highlight w:val="none"/>
          <w:lang w:val="en-US" w:eastAsia="zh-CN"/>
        </w:rPr>
        <w:t>交易乙方</w:t>
      </w:r>
      <w:r>
        <w:rPr>
          <w:rFonts w:hint="default" w:ascii="仿宋_GB2312" w:hAnsi="仿宋_GB2312" w:eastAsia="仿宋_GB2312" w:cs="仿宋_GB2312"/>
          <w:snapToGrid w:val="0"/>
          <w:color w:val="000000"/>
          <w:kern w:val="0"/>
          <w:sz w:val="32"/>
          <w:szCs w:val="32"/>
          <w:highlight w:val="none"/>
        </w:rPr>
        <w:t>”，凭账号密码登陆</w:t>
      </w:r>
      <w:r>
        <w:rPr>
          <w:rFonts w:hint="eastAsia" w:ascii="仿宋_GB2312" w:hAnsi="仿宋_GB2312" w:eastAsia="仿宋_GB2312" w:cs="仿宋_GB2312"/>
          <w:snapToGrid w:val="0"/>
          <w:color w:val="000000"/>
          <w:kern w:val="0"/>
          <w:sz w:val="32"/>
          <w:szCs w:val="32"/>
          <w:highlight w:val="none"/>
          <w:lang w:val="en-US" w:eastAsia="zh-CN"/>
        </w:rPr>
        <w:t>兵团</w:t>
      </w:r>
      <w:r>
        <w:rPr>
          <w:rFonts w:hint="default" w:ascii="仿宋_GB2312" w:hAnsi="仿宋_GB2312" w:eastAsia="仿宋_GB2312" w:cs="仿宋_GB2312"/>
          <w:snapToGrid w:val="0"/>
          <w:color w:val="000000"/>
          <w:kern w:val="0"/>
          <w:sz w:val="32"/>
          <w:szCs w:val="32"/>
          <w:highlight w:val="none"/>
        </w:rPr>
        <w:t>公共资源交易</w:t>
      </w:r>
      <w:r>
        <w:rPr>
          <w:rFonts w:hint="eastAsia" w:ascii="仿宋_GB2312" w:hAnsi="仿宋_GB2312" w:eastAsia="仿宋_GB2312" w:cs="仿宋_GB2312"/>
          <w:snapToGrid w:val="0"/>
          <w:color w:val="000000"/>
          <w:kern w:val="0"/>
          <w:sz w:val="32"/>
          <w:szCs w:val="32"/>
          <w:highlight w:val="none"/>
          <w:lang w:val="en-US" w:eastAsia="zh-CN"/>
        </w:rPr>
        <w:t>平台</w:t>
      </w:r>
      <w:r>
        <w:rPr>
          <w:rFonts w:hint="default" w:ascii="仿宋_GB2312" w:hAnsi="仿宋_GB2312" w:eastAsia="仿宋_GB2312" w:cs="仿宋_GB2312"/>
          <w:snapToGrid w:val="0"/>
          <w:color w:val="000000"/>
          <w:kern w:val="0"/>
          <w:sz w:val="32"/>
          <w:szCs w:val="32"/>
          <w:highlight w:val="none"/>
        </w:rPr>
        <w:t>，完善诚信库基本信息，做好平台入库工作。</w:t>
      </w:r>
    </w:p>
    <w:p w14:paraId="3E3F63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2.竞买申请人取得CA有效数字证书后，参与网上申请和竞买，CA有效数字证书包括：企业、法定代表人数字证书及签章。CA数字认证支持远程在线办理，办理流程及操作手册详见</w:t>
      </w:r>
      <w:r>
        <w:rPr>
          <w:rFonts w:hint="eastAsia" w:ascii="仿宋_GB2312" w:hAnsi="仿宋_GB2312" w:eastAsia="仿宋_GB2312" w:cs="仿宋_GB2312"/>
          <w:snapToGrid w:val="0"/>
          <w:color w:val="000000"/>
          <w:kern w:val="0"/>
          <w:sz w:val="32"/>
          <w:szCs w:val="32"/>
          <w:highlight w:val="none"/>
          <w:lang w:val="en-US" w:eastAsia="zh-CN"/>
        </w:rPr>
        <w:t>兵团</w:t>
      </w:r>
      <w:r>
        <w:rPr>
          <w:rFonts w:hint="default" w:ascii="仿宋_GB2312" w:hAnsi="仿宋_GB2312" w:eastAsia="仿宋_GB2312" w:cs="仿宋_GB2312"/>
          <w:snapToGrid w:val="0"/>
          <w:color w:val="000000"/>
          <w:kern w:val="0"/>
          <w:sz w:val="32"/>
          <w:szCs w:val="32"/>
          <w:highlight w:val="none"/>
        </w:rPr>
        <w:t>公共资源交易</w:t>
      </w:r>
      <w:r>
        <w:rPr>
          <w:rFonts w:hint="eastAsia" w:ascii="仿宋_GB2312" w:hAnsi="仿宋_GB2312" w:eastAsia="仿宋_GB2312" w:cs="仿宋_GB2312"/>
          <w:snapToGrid w:val="0"/>
          <w:color w:val="000000"/>
          <w:kern w:val="0"/>
          <w:sz w:val="32"/>
          <w:szCs w:val="32"/>
          <w:highlight w:val="none"/>
          <w:lang w:val="en-US" w:eastAsia="zh-CN"/>
        </w:rPr>
        <w:t>平台服务</w:t>
      </w:r>
      <w:r>
        <w:rPr>
          <w:rFonts w:hint="default" w:ascii="仿宋_GB2312" w:hAnsi="仿宋_GB2312" w:eastAsia="仿宋_GB2312" w:cs="仿宋_GB2312"/>
          <w:snapToGrid w:val="0"/>
          <w:color w:val="000000"/>
          <w:kern w:val="0"/>
          <w:sz w:val="32"/>
          <w:szCs w:val="32"/>
          <w:highlight w:val="none"/>
        </w:rPr>
        <w:t>指南。竞买申请人可以选择新</w:t>
      </w:r>
      <w:r>
        <w:rPr>
          <w:rFonts w:hint="eastAsia" w:ascii="仿宋_GB2312" w:hAnsi="仿宋_GB2312" w:eastAsia="仿宋_GB2312" w:cs="仿宋_GB2312"/>
          <w:snapToGrid w:val="0"/>
          <w:color w:val="000000"/>
          <w:kern w:val="0"/>
          <w:sz w:val="32"/>
          <w:szCs w:val="32"/>
          <w:highlight w:val="none"/>
          <w:lang w:val="en-US" w:eastAsia="zh-CN"/>
        </w:rPr>
        <w:t>数</w:t>
      </w:r>
      <w:r>
        <w:rPr>
          <w:rFonts w:hint="default" w:ascii="仿宋_GB2312" w:hAnsi="仿宋_GB2312" w:eastAsia="仿宋_GB2312" w:cs="仿宋_GB2312"/>
          <w:snapToGrid w:val="0"/>
          <w:color w:val="000000"/>
          <w:kern w:val="0"/>
          <w:sz w:val="32"/>
          <w:szCs w:val="32"/>
          <w:highlight w:val="none"/>
        </w:rPr>
        <w:t>CA</w:t>
      </w:r>
      <w:r>
        <w:rPr>
          <w:rFonts w:hint="default" w:ascii="仿宋_GB2312" w:hAnsi="仿宋_GB2312" w:eastAsia="仿宋_GB2312" w:cs="仿宋_GB2312"/>
          <w:snapToGrid w:val="0"/>
          <w:color w:val="000000"/>
          <w:kern w:val="0"/>
          <w:sz w:val="32"/>
          <w:szCs w:val="32"/>
          <w:highlight w:val="none"/>
          <w:lang w:eastAsia="zh-CN"/>
        </w:rPr>
        <w:t>、</w:t>
      </w:r>
      <w:r>
        <w:rPr>
          <w:rFonts w:hint="default" w:ascii="仿宋_GB2312" w:hAnsi="仿宋_GB2312" w:eastAsia="仿宋_GB2312" w:cs="仿宋_GB2312"/>
          <w:snapToGrid w:val="0"/>
          <w:color w:val="000000"/>
          <w:kern w:val="0"/>
          <w:sz w:val="32"/>
          <w:szCs w:val="32"/>
          <w:highlight w:val="none"/>
        </w:rPr>
        <w:t>翔晟</w:t>
      </w:r>
      <w:r>
        <w:rPr>
          <w:rFonts w:hint="eastAsia" w:ascii="仿宋_GB2312" w:hAnsi="仿宋_GB2312" w:eastAsia="仿宋_GB2312" w:cs="仿宋_GB2312"/>
          <w:snapToGrid w:val="0"/>
          <w:color w:val="000000"/>
          <w:kern w:val="0"/>
          <w:sz w:val="32"/>
          <w:szCs w:val="32"/>
          <w:highlight w:val="none"/>
          <w:lang w:val="en-US" w:eastAsia="zh-CN"/>
        </w:rPr>
        <w:t>国密</w:t>
      </w:r>
      <w:r>
        <w:rPr>
          <w:rFonts w:hint="default" w:ascii="仿宋_GB2312" w:hAnsi="仿宋_GB2312" w:eastAsia="仿宋_GB2312" w:cs="仿宋_GB2312"/>
          <w:snapToGrid w:val="0"/>
          <w:color w:val="000000"/>
          <w:kern w:val="0"/>
          <w:sz w:val="32"/>
          <w:szCs w:val="32"/>
          <w:highlight w:val="none"/>
        </w:rPr>
        <w:t>CA</w:t>
      </w:r>
      <w:r>
        <w:rPr>
          <w:rFonts w:hint="default" w:ascii="仿宋_GB2312" w:hAnsi="仿宋_GB2312" w:eastAsia="仿宋_GB2312" w:cs="仿宋_GB2312"/>
          <w:snapToGrid w:val="0"/>
          <w:color w:val="000000"/>
          <w:kern w:val="0"/>
          <w:sz w:val="32"/>
          <w:szCs w:val="32"/>
          <w:highlight w:val="none"/>
          <w:lang w:val="en-US" w:eastAsia="zh-CN"/>
        </w:rPr>
        <w:t>其中一种方式进行办理</w:t>
      </w:r>
      <w:r>
        <w:rPr>
          <w:rFonts w:hint="default" w:ascii="仿宋_GB2312" w:hAnsi="仿宋_GB2312" w:eastAsia="仿宋_GB2312" w:cs="仿宋_GB2312"/>
          <w:snapToGrid w:val="0"/>
          <w:color w:val="000000"/>
          <w:kern w:val="0"/>
          <w:sz w:val="32"/>
          <w:szCs w:val="32"/>
          <w:highlight w:val="none"/>
        </w:rPr>
        <w:t>，功能一致。现场领取CA数字证书如遇困难，可联系CA公司邮寄。</w:t>
      </w:r>
    </w:p>
    <w:p w14:paraId="1CE48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eastAsia="zh-CN"/>
        </w:rPr>
      </w:pPr>
      <w:r>
        <w:rPr>
          <w:rFonts w:hint="default" w:ascii="仿宋_GB2312" w:hAnsi="仿宋_GB2312" w:eastAsia="仿宋_GB2312" w:cs="仿宋_GB2312"/>
          <w:snapToGrid w:val="0"/>
          <w:color w:val="000000"/>
          <w:kern w:val="0"/>
          <w:sz w:val="32"/>
          <w:szCs w:val="32"/>
          <w:highlight w:val="none"/>
        </w:rPr>
        <w:t>CA认证办理地址：乌鲁木齐市</w:t>
      </w:r>
      <w:r>
        <w:rPr>
          <w:rFonts w:hint="eastAsia" w:ascii="仿宋_GB2312" w:hAnsi="仿宋_GB2312" w:eastAsia="仿宋_GB2312" w:cs="仿宋_GB2312"/>
          <w:snapToGrid w:val="0"/>
          <w:color w:val="000000"/>
          <w:kern w:val="0"/>
          <w:sz w:val="32"/>
          <w:szCs w:val="32"/>
          <w:highlight w:val="none"/>
          <w:lang w:val="en-US" w:eastAsia="zh-CN"/>
        </w:rPr>
        <w:t>天山区新民路创天大厦2楼</w:t>
      </w:r>
      <w:r>
        <w:rPr>
          <w:rFonts w:hint="eastAsia" w:ascii="仿宋_GB2312" w:hAnsi="仿宋_GB2312" w:eastAsia="仿宋_GB2312" w:cs="仿宋_GB2312"/>
          <w:snapToGrid w:val="0"/>
          <w:color w:val="000000"/>
          <w:kern w:val="0"/>
          <w:sz w:val="32"/>
          <w:szCs w:val="32"/>
          <w:highlight w:val="none"/>
          <w:lang w:eastAsia="zh-CN"/>
        </w:rPr>
        <w:t>。</w:t>
      </w:r>
    </w:p>
    <w:p w14:paraId="46464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rPr>
        <w:t>1.新</w:t>
      </w:r>
      <w:r>
        <w:rPr>
          <w:rFonts w:hint="eastAsia" w:ascii="仿宋_GB2312" w:hAnsi="仿宋_GB2312" w:eastAsia="仿宋_GB2312" w:cs="仿宋_GB2312"/>
          <w:snapToGrid w:val="0"/>
          <w:color w:val="000000"/>
          <w:kern w:val="0"/>
          <w:sz w:val="32"/>
          <w:szCs w:val="32"/>
          <w:highlight w:val="none"/>
          <w:lang w:val="en-US" w:eastAsia="zh-CN"/>
        </w:rPr>
        <w:t>数</w:t>
      </w:r>
      <w:r>
        <w:rPr>
          <w:rFonts w:hint="default" w:ascii="仿宋_GB2312" w:hAnsi="仿宋_GB2312" w:eastAsia="仿宋_GB2312" w:cs="仿宋_GB2312"/>
          <w:snapToGrid w:val="0"/>
          <w:color w:val="000000"/>
          <w:kern w:val="0"/>
          <w:sz w:val="32"/>
          <w:szCs w:val="32"/>
          <w:highlight w:val="none"/>
        </w:rPr>
        <w:t>CA，联系电话：</w:t>
      </w:r>
      <w:r>
        <w:rPr>
          <w:rFonts w:hint="default" w:ascii="仿宋_GB2312" w:hAnsi="仿宋_GB2312" w:eastAsia="仿宋_GB2312" w:cs="仿宋_GB2312"/>
          <w:snapToGrid w:val="0"/>
          <w:color w:val="000000"/>
          <w:kern w:val="0"/>
          <w:sz w:val="32"/>
          <w:szCs w:val="32"/>
          <w:highlight w:val="none"/>
          <w:lang w:val="en-US" w:eastAsia="zh-CN"/>
        </w:rPr>
        <w:t>0991-</w:t>
      </w:r>
      <w:r>
        <w:rPr>
          <w:rFonts w:hint="eastAsia" w:ascii="仿宋_GB2312" w:hAnsi="仿宋_GB2312" w:eastAsia="仿宋_GB2312" w:cs="仿宋_GB2312"/>
          <w:snapToGrid w:val="0"/>
          <w:color w:val="000000"/>
          <w:kern w:val="0"/>
          <w:sz w:val="32"/>
          <w:szCs w:val="32"/>
          <w:highlight w:val="none"/>
          <w:lang w:val="en-US" w:eastAsia="zh-CN"/>
        </w:rPr>
        <w:t>8844610</w:t>
      </w:r>
      <w:r>
        <w:rPr>
          <w:rFonts w:hint="default" w:ascii="仿宋_GB2312" w:hAnsi="仿宋_GB2312" w:eastAsia="仿宋_GB2312" w:cs="仿宋_GB2312"/>
          <w:snapToGrid w:val="0"/>
          <w:color w:val="000000"/>
          <w:kern w:val="0"/>
          <w:sz w:val="32"/>
          <w:szCs w:val="32"/>
          <w:highlight w:val="none"/>
          <w:lang w:val="en-US" w:eastAsia="zh-CN"/>
        </w:rPr>
        <w:t>；</w:t>
      </w:r>
    </w:p>
    <w:p w14:paraId="295D8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rPr>
        <w:t>2.翔晟</w:t>
      </w:r>
      <w:r>
        <w:rPr>
          <w:rFonts w:hint="eastAsia" w:ascii="仿宋_GB2312" w:hAnsi="仿宋_GB2312" w:eastAsia="仿宋_GB2312" w:cs="仿宋_GB2312"/>
          <w:snapToGrid w:val="0"/>
          <w:color w:val="000000"/>
          <w:kern w:val="0"/>
          <w:sz w:val="32"/>
          <w:szCs w:val="32"/>
          <w:highlight w:val="none"/>
          <w:lang w:val="en-US" w:eastAsia="zh-CN"/>
        </w:rPr>
        <w:t>国密</w:t>
      </w:r>
      <w:r>
        <w:rPr>
          <w:rFonts w:hint="default" w:ascii="仿宋_GB2312" w:hAnsi="仿宋_GB2312" w:eastAsia="仿宋_GB2312" w:cs="仿宋_GB2312"/>
          <w:snapToGrid w:val="0"/>
          <w:color w:val="000000"/>
          <w:kern w:val="0"/>
          <w:sz w:val="32"/>
          <w:szCs w:val="32"/>
          <w:highlight w:val="none"/>
        </w:rPr>
        <w:t>CA，联系电话：</w:t>
      </w:r>
      <w:r>
        <w:rPr>
          <w:rFonts w:hint="eastAsia" w:ascii="仿宋_GB2312" w:hAnsi="仿宋_GB2312" w:eastAsia="仿宋_GB2312" w:cs="仿宋_GB2312"/>
          <w:snapToGrid w:val="0"/>
          <w:color w:val="000000"/>
          <w:kern w:val="0"/>
          <w:sz w:val="32"/>
          <w:szCs w:val="32"/>
          <w:highlight w:val="none"/>
          <w:lang w:val="en-US" w:eastAsia="zh-CN"/>
        </w:rPr>
        <w:t>17690707921</w:t>
      </w:r>
    </w:p>
    <w:p w14:paraId="6F788D59">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（二）报名材料提交要求</w:t>
      </w:r>
    </w:p>
    <w:p w14:paraId="00A3A8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rPr>
        <w:t>意向竞买人持CA数字证书登录</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w:t>
      </w:r>
      <w:r>
        <w:rPr>
          <w:rFonts w:hint="eastAsia" w:ascii="仿宋_GB2312" w:hAnsi="仿宋_GB2312" w:eastAsia="仿宋_GB2312" w:cs="仿宋_GB2312"/>
          <w:snapToGrid w:val="0"/>
          <w:color w:val="000000"/>
          <w:kern w:val="0"/>
          <w:sz w:val="32"/>
          <w:szCs w:val="32"/>
          <w:highlight w:val="none"/>
          <w:lang w:val="en-US" w:eastAsia="zh-CN"/>
        </w:rPr>
        <w:t>平台</w:t>
      </w:r>
      <w:r>
        <w:rPr>
          <w:rFonts w:hint="default" w:ascii="仿宋_GB2312" w:hAnsi="仿宋_GB2312" w:eastAsia="仿宋_GB2312" w:cs="仿宋_GB2312"/>
          <w:snapToGrid w:val="0"/>
          <w:color w:val="000000"/>
          <w:kern w:val="0"/>
          <w:sz w:val="32"/>
          <w:szCs w:val="32"/>
          <w:highlight w:val="none"/>
        </w:rPr>
        <w:t>（网址：</w:t>
      </w:r>
      <w:r>
        <w:rPr>
          <w:rFonts w:hint="default" w:ascii="仿宋_GB2312" w:hAnsi="仿宋_GB2312" w:eastAsia="仿宋_GB2312" w:cs="仿宋_GB2312"/>
          <w:snapToGrid w:val="0"/>
          <w:color w:val="000000"/>
          <w:kern w:val="0"/>
          <w:sz w:val="32"/>
          <w:szCs w:val="32"/>
          <w:highlight w:val="none"/>
        </w:rPr>
        <w:fldChar w:fldCharType="begin"/>
      </w:r>
      <w:r>
        <w:rPr>
          <w:rFonts w:hint="default" w:ascii="仿宋_GB2312" w:hAnsi="仿宋_GB2312" w:eastAsia="仿宋_GB2312" w:cs="仿宋_GB2312"/>
          <w:snapToGrid w:val="0"/>
          <w:color w:val="000000"/>
          <w:kern w:val="0"/>
          <w:sz w:val="32"/>
          <w:szCs w:val="32"/>
          <w:highlight w:val="none"/>
        </w:rPr>
        <w:instrText xml:space="preserve"> HYPERLINK "http://ggzy.xinjiang.gov.cn/TPBidder/memberLogin）进行报名，按要求上传清晰的报名材料电子版文件（PDF格式）。" </w:instrText>
      </w:r>
      <w:r>
        <w:rPr>
          <w:rFonts w:hint="default" w:ascii="仿宋_GB2312" w:hAnsi="仿宋_GB2312" w:eastAsia="仿宋_GB2312" w:cs="仿宋_GB2312"/>
          <w:snapToGrid w:val="0"/>
          <w:color w:val="000000"/>
          <w:kern w:val="0"/>
          <w:sz w:val="32"/>
          <w:szCs w:val="32"/>
          <w:highlight w:val="none"/>
        </w:rPr>
        <w:fldChar w:fldCharType="separate"/>
      </w:r>
      <w:r>
        <w:rPr>
          <w:rFonts w:hint="default" w:ascii="仿宋_GB2312" w:hAnsi="仿宋_GB2312" w:eastAsia="仿宋_GB2312" w:cs="仿宋_GB2312"/>
          <w:snapToGrid w:val="0"/>
          <w:color w:val="000000"/>
          <w:kern w:val="0"/>
          <w:sz w:val="32"/>
          <w:szCs w:val="32"/>
          <w:highlight w:val="none"/>
        </w:rPr>
        <w:t>http</w:t>
      </w:r>
      <w:r>
        <w:rPr>
          <w:rFonts w:hint="default" w:ascii="仿宋_GB2312" w:hAnsi="仿宋_GB2312" w:eastAsia="仿宋_GB2312" w:cs="仿宋_GB2312"/>
          <w:snapToGrid w:val="0"/>
          <w:color w:val="000000"/>
          <w:kern w:val="0"/>
          <w:sz w:val="32"/>
          <w:szCs w:val="32"/>
          <w:highlight w:val="none"/>
          <w:lang w:val="en-US" w:eastAsia="zh-CN"/>
        </w:rPr>
        <w:t>s</w:t>
      </w:r>
      <w:r>
        <w:rPr>
          <w:rFonts w:hint="default" w:ascii="仿宋_GB2312" w:hAnsi="仿宋_GB2312" w:eastAsia="仿宋_GB2312" w:cs="仿宋_GB2312"/>
          <w:snapToGrid w:val="0"/>
          <w:color w:val="000000"/>
          <w:kern w:val="0"/>
          <w:sz w:val="32"/>
          <w:szCs w:val="32"/>
          <w:highlight w:val="none"/>
        </w:rPr>
        <w:t>://ggzy.xj</w:t>
      </w:r>
      <w:r>
        <w:rPr>
          <w:rFonts w:hint="eastAsia" w:ascii="仿宋_GB2312" w:hAnsi="仿宋_GB2312" w:eastAsia="仿宋_GB2312" w:cs="仿宋_GB2312"/>
          <w:snapToGrid w:val="0"/>
          <w:color w:val="000000"/>
          <w:kern w:val="0"/>
          <w:sz w:val="32"/>
          <w:szCs w:val="32"/>
          <w:highlight w:val="none"/>
          <w:lang w:val="en-US" w:eastAsia="zh-CN"/>
        </w:rPr>
        <w:t>bt</w:t>
      </w:r>
      <w:r>
        <w:rPr>
          <w:rFonts w:hint="default" w:ascii="仿宋_GB2312" w:hAnsi="仿宋_GB2312" w:eastAsia="仿宋_GB2312" w:cs="仿宋_GB2312"/>
          <w:snapToGrid w:val="0"/>
          <w:color w:val="000000"/>
          <w:kern w:val="0"/>
          <w:sz w:val="32"/>
          <w:szCs w:val="32"/>
          <w:highlight w:val="none"/>
        </w:rPr>
        <w:t>.gov.cn）进行报名，按要求上传清晰的报名材料电子版文件（PDF格式）。</w:t>
      </w:r>
      <w:r>
        <w:rPr>
          <w:rFonts w:hint="default" w:ascii="仿宋_GB2312" w:hAnsi="仿宋_GB2312" w:eastAsia="仿宋_GB2312" w:cs="仿宋_GB2312"/>
          <w:snapToGrid w:val="0"/>
          <w:color w:val="000000"/>
          <w:kern w:val="0"/>
          <w:sz w:val="32"/>
          <w:szCs w:val="32"/>
          <w:highlight w:val="none"/>
        </w:rPr>
        <w:fldChar w:fldCharType="end"/>
      </w:r>
    </w:p>
    <w:p w14:paraId="7274978D">
      <w:pPr>
        <w:keepNext w:val="0"/>
        <w:keepLines w:val="0"/>
        <w:pageBreakBefore w:val="0"/>
        <w:widowControl w:val="0"/>
        <w:kinsoku/>
        <w:wordWrap/>
        <w:overflowPunct/>
        <w:autoSpaceDN/>
        <w:bidi w:val="0"/>
        <w:spacing w:line="560" w:lineRule="exact"/>
        <w:ind w:firstLine="643"/>
        <w:rPr>
          <w:rFonts w:hint="default" w:ascii="楷体_GB2312" w:hAnsi="楷体_GB2312" w:eastAsia="楷体_GB2312" w:cs="楷体_GB2312"/>
          <w:b w:val="0"/>
          <w:bCs w:val="0"/>
          <w:snapToGrid w:val="0"/>
          <w:color w:val="000000"/>
          <w:kern w:val="0"/>
          <w:sz w:val="32"/>
          <w:szCs w:val="21"/>
          <w:highlight w:val="none"/>
          <w:lang w:val="en-US" w:eastAsia="zh-CN"/>
        </w:rPr>
      </w:pPr>
      <w:r>
        <w:rPr>
          <w:rFonts w:hint="eastAsia" w:ascii="楷体_GB2312" w:hAnsi="楷体_GB2312" w:eastAsia="楷体_GB2312" w:cs="楷体_GB2312"/>
          <w:b w:val="0"/>
          <w:bCs w:val="0"/>
          <w:snapToGrid w:val="0"/>
          <w:color w:val="000000"/>
          <w:kern w:val="0"/>
          <w:sz w:val="32"/>
          <w:szCs w:val="21"/>
          <w:highlight w:val="none"/>
          <w:lang w:val="en-US" w:eastAsia="zh-CN"/>
        </w:rPr>
        <w:t>（三）</w:t>
      </w:r>
      <w:r>
        <w:rPr>
          <w:rFonts w:hint="default" w:ascii="楷体_GB2312" w:hAnsi="楷体_GB2312" w:eastAsia="楷体_GB2312" w:cs="楷体_GB2312"/>
          <w:b w:val="0"/>
          <w:bCs w:val="0"/>
          <w:snapToGrid w:val="0"/>
          <w:color w:val="000000"/>
          <w:kern w:val="0"/>
          <w:sz w:val="32"/>
          <w:szCs w:val="21"/>
          <w:highlight w:val="none"/>
          <w:lang w:val="en-US" w:eastAsia="zh-CN"/>
        </w:rPr>
        <w:t>竞买保证金</w:t>
      </w:r>
      <w:r>
        <w:rPr>
          <w:rFonts w:hint="eastAsia" w:ascii="楷体_GB2312" w:hAnsi="楷体_GB2312" w:eastAsia="楷体_GB2312" w:cs="楷体_GB2312"/>
          <w:b w:val="0"/>
          <w:bCs w:val="0"/>
          <w:snapToGrid w:val="0"/>
          <w:color w:val="000000"/>
          <w:kern w:val="0"/>
          <w:sz w:val="32"/>
          <w:szCs w:val="21"/>
          <w:highlight w:val="none"/>
          <w:lang w:val="en-US" w:eastAsia="zh-CN"/>
        </w:rPr>
        <w:t>缴纳</w:t>
      </w:r>
      <w:r>
        <w:rPr>
          <w:rFonts w:hint="default" w:ascii="楷体_GB2312" w:hAnsi="楷体_GB2312" w:eastAsia="楷体_GB2312" w:cs="楷体_GB2312"/>
          <w:b w:val="0"/>
          <w:bCs w:val="0"/>
          <w:snapToGrid w:val="0"/>
          <w:color w:val="000000"/>
          <w:kern w:val="0"/>
          <w:sz w:val="32"/>
          <w:szCs w:val="21"/>
          <w:highlight w:val="none"/>
          <w:lang w:val="en-US" w:eastAsia="zh-CN"/>
        </w:rPr>
        <w:t>注意事项</w:t>
      </w:r>
    </w:p>
    <w:p w14:paraId="17D91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确定竞得人后，竞得人未在规定期限内签订《探矿权成交确认书》、按要求缴纳相关费用，视为竞得人放弃竞得资格，竞得人所缴纳的交易保证金不予退还。</w:t>
      </w:r>
    </w:p>
    <w:p w14:paraId="55E6B7B7">
      <w:pPr>
        <w:keepNext w:val="0"/>
        <w:keepLines w:val="0"/>
        <w:pageBreakBefore w:val="0"/>
        <w:widowControl w:val="0"/>
        <w:kinsoku/>
        <w:wordWrap/>
        <w:overflowPunct/>
        <w:topLinePunct w:val="0"/>
        <w:autoSpaceDE/>
        <w:autoSpaceDN/>
        <w:bidi w:val="0"/>
        <w:snapToGrid/>
        <w:spacing w:line="560" w:lineRule="exact"/>
        <w:ind w:left="0" w:leftChars="0" w:firstLine="643" w:firstLineChars="200"/>
        <w:textAlignment w:val="auto"/>
        <w:rPr>
          <w:rFonts w:hint="eastAsia" w:ascii="仿宋_GB2312" w:hAnsi="仿宋_GB2312" w:eastAsia="仿宋_GB2312" w:cs="仿宋_GB2312"/>
          <w:b/>
          <w:bCs/>
          <w:snapToGrid w:val="0"/>
          <w:color w:val="000000"/>
          <w:kern w:val="0"/>
          <w:sz w:val="32"/>
          <w:szCs w:val="32"/>
          <w:highlight w:val="none"/>
          <w:lang w:val="en-US" w:eastAsia="zh-CN"/>
        </w:rPr>
      </w:pPr>
      <w:r>
        <w:rPr>
          <w:rFonts w:hint="eastAsia" w:ascii="仿宋_GB2312" w:hAnsi="仿宋_GB2312" w:eastAsia="仿宋_GB2312" w:cs="仿宋_GB2312"/>
          <w:b/>
          <w:bCs/>
          <w:snapToGrid w:val="0"/>
          <w:color w:val="000000"/>
          <w:kern w:val="0"/>
          <w:sz w:val="32"/>
          <w:szCs w:val="32"/>
          <w:highlight w:val="none"/>
          <w:lang w:val="en-US" w:eastAsia="zh-CN"/>
        </w:rPr>
        <w:t>1.保证金：</w:t>
      </w:r>
    </w:p>
    <w:p w14:paraId="3D1DAF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（1）</w:t>
      </w:r>
      <w:r>
        <w:rPr>
          <w:rFonts w:hint="eastAsia" w:ascii="仿宋_GB2312" w:hAnsi="仿宋_GB2312" w:eastAsia="仿宋_GB2312" w:cs="仿宋_GB2312"/>
          <w:snapToGrid w:val="0"/>
          <w:color w:val="000000"/>
          <w:kern w:val="0"/>
          <w:sz w:val="32"/>
          <w:szCs w:val="32"/>
          <w:highlight w:val="none"/>
          <w:lang w:eastAsia="zh-CN"/>
        </w:rPr>
        <w:t>竞买人</w:t>
      </w:r>
      <w:r>
        <w:rPr>
          <w:rFonts w:hint="eastAsia" w:ascii="仿宋_GB2312" w:hAnsi="仿宋_GB2312" w:eastAsia="仿宋_GB2312" w:cs="仿宋_GB2312"/>
          <w:snapToGrid w:val="0"/>
          <w:color w:val="000000"/>
          <w:kern w:val="0"/>
          <w:sz w:val="32"/>
          <w:szCs w:val="32"/>
          <w:highlight w:val="none"/>
          <w:lang w:val="en-US" w:eastAsia="zh-CN"/>
        </w:rPr>
        <w:t>登录后按照</w:t>
      </w:r>
      <w:r>
        <w:rPr>
          <w:rFonts w:hint="eastAsia" w:ascii="仿宋_GB2312" w:hAnsi="仿宋_GB2312" w:eastAsia="仿宋_GB2312" w:cs="仿宋_GB2312"/>
          <w:b/>
          <w:bCs/>
          <w:snapToGrid w:val="0"/>
          <w:color w:val="000000"/>
          <w:kern w:val="0"/>
          <w:sz w:val="32"/>
          <w:szCs w:val="32"/>
          <w:highlight w:val="none"/>
          <w:lang w:val="en-US" w:eastAsia="zh-CN"/>
        </w:rPr>
        <w:t>资格审查页面</w:t>
      </w:r>
      <w:r>
        <w:rPr>
          <w:rFonts w:hint="eastAsia" w:ascii="仿宋_GB2312" w:hAnsi="仿宋_GB2312" w:eastAsia="仿宋_GB2312" w:cs="仿宋_GB2312"/>
          <w:snapToGrid w:val="0"/>
          <w:color w:val="000000"/>
          <w:kern w:val="0"/>
          <w:sz w:val="32"/>
          <w:szCs w:val="32"/>
          <w:highlight w:val="none"/>
          <w:lang w:val="en-US" w:eastAsia="zh-CN"/>
        </w:rPr>
        <w:t>生成的保证金缴纳账号及显示金额通过单位账户以银行转账的方式缴纳</w:t>
      </w:r>
      <w:r>
        <w:rPr>
          <w:rFonts w:hint="eastAsia" w:ascii="仿宋_GB2312" w:hAnsi="仿宋_GB2312" w:eastAsia="仿宋_GB2312" w:cs="仿宋_GB2312"/>
          <w:snapToGrid w:val="0"/>
          <w:color w:val="000000"/>
          <w:kern w:val="0"/>
          <w:sz w:val="32"/>
          <w:szCs w:val="32"/>
          <w:highlight w:val="none"/>
        </w:rPr>
        <w:t>保证金</w:t>
      </w:r>
      <w:r>
        <w:rPr>
          <w:rFonts w:hint="eastAsia" w:ascii="仿宋_GB2312" w:hAnsi="仿宋_GB2312" w:eastAsia="仿宋_GB2312" w:cs="仿宋_GB2312"/>
          <w:snapToGrid w:val="0"/>
          <w:color w:val="000000"/>
          <w:kern w:val="0"/>
          <w:sz w:val="32"/>
          <w:szCs w:val="32"/>
          <w:highlight w:val="none"/>
          <w:lang w:val="en-US" w:eastAsia="zh-CN"/>
        </w:rPr>
        <w:t>，</w:t>
      </w:r>
      <w:r>
        <w:rPr>
          <w:rFonts w:hint="eastAsia" w:ascii="仿宋_GB2312" w:hAnsi="仿宋_GB2312" w:eastAsia="仿宋_GB2312" w:cs="仿宋_GB2312"/>
          <w:b/>
          <w:bCs/>
          <w:snapToGrid w:val="0"/>
          <w:color w:val="000000"/>
          <w:kern w:val="0"/>
          <w:sz w:val="32"/>
          <w:szCs w:val="32"/>
          <w:highlight w:val="none"/>
          <w:lang w:val="en-US" w:eastAsia="zh-CN"/>
        </w:rPr>
        <w:t>保证金缴纳银行账户名称必须与报名单位名称一致,</w:t>
      </w:r>
      <w:r>
        <w:rPr>
          <w:rFonts w:hint="eastAsia" w:ascii="仿宋_GB2312" w:hAnsi="仿宋_GB2312" w:eastAsia="仿宋_GB2312" w:cs="仿宋_GB2312"/>
          <w:snapToGrid w:val="0"/>
          <w:color w:val="000000"/>
          <w:kern w:val="0"/>
          <w:sz w:val="32"/>
          <w:szCs w:val="32"/>
          <w:highlight w:val="none"/>
          <w:lang w:val="en-US" w:eastAsia="zh-CN"/>
        </w:rPr>
        <w:t>缴纳后点击“保证金查询”确认到账情况。网络竞价不接受线下或现场缴纳。</w:t>
      </w:r>
    </w:p>
    <w:p w14:paraId="625B8B6F">
      <w:pPr>
        <w:pageBreakBefore w:val="0"/>
        <w:numPr>
          <w:ilvl w:val="0"/>
          <w:numId w:val="0"/>
        </w:numPr>
        <w:kinsoku/>
        <w:wordWrap/>
        <w:overflowPunct/>
        <w:topLinePunct w:val="0"/>
        <w:autoSpaceDE/>
        <w:autoSpaceDN/>
        <w:bidi w:val="0"/>
        <w:snapToGrid/>
        <w:spacing w:beforeAutospacing="0" w:afterAutospacing="0" w:line="560" w:lineRule="exact"/>
        <w:ind w:leftChars="0" w:rightChars="0" w:firstLine="640" w:firstLineChars="200"/>
        <w:jc w:val="left"/>
        <w:textAlignment w:val="auto"/>
        <w:rPr>
          <w:rFonts w:hint="eastAsia" w:ascii="Times New Roman" w:hAnsi="仿宋" w:eastAsia="仿宋" w:cs="仿宋"/>
          <w:b w:val="0"/>
          <w:i w:val="0"/>
          <w:color w:val="auto"/>
          <w:sz w:val="32"/>
          <w:szCs w:val="32"/>
          <w:highlight w:val="none"/>
          <w:lang w:val="en-US" w:eastAsia="zh-CN"/>
        </w:rPr>
      </w:pPr>
      <w:r>
        <w:rPr>
          <w:rFonts w:hint="eastAsia" w:ascii="Times New Roman" w:hAnsi="仿宋" w:eastAsia="仿宋" w:cs="仿宋"/>
          <w:b w:val="0"/>
          <w:i w:val="0"/>
          <w:color w:val="auto"/>
          <w:sz w:val="32"/>
          <w:szCs w:val="32"/>
          <w:highlight w:val="none"/>
          <w:lang w:val="en-US" w:eastAsia="zh-CN"/>
        </w:rPr>
        <w:t>当竞买价格至5000万元时，保证金追加1000万元，追加时限1个工作日；在追加保证金缴纳期间，竞价系统将暂停运行；自追加时限届满之时起，系统将自动恢复竞价流程，暂停时间累计为1个工作日。若在追加保证金的1个工作日期限内，无竞买人按规定完成追加缴纳，则以系统暂停前的最高有效报价对应的竞买人作为竞得人；若追加保证金期限届满后系统恢复竞价，但后续无人进行新的有效报价，亦以系统暂停前的最高有效报价对应的竞买人作为竞得人。</w:t>
      </w:r>
    </w:p>
    <w:p w14:paraId="166D424B">
      <w:pPr>
        <w:pageBreakBefore w:val="0"/>
        <w:numPr>
          <w:ilvl w:val="0"/>
          <w:numId w:val="0"/>
        </w:numPr>
        <w:kinsoku/>
        <w:wordWrap/>
        <w:overflowPunct/>
        <w:topLinePunct w:val="0"/>
        <w:autoSpaceDE/>
        <w:autoSpaceDN/>
        <w:bidi w:val="0"/>
        <w:snapToGrid/>
        <w:spacing w:beforeAutospacing="0" w:afterAutospacing="0" w:line="560" w:lineRule="exact"/>
        <w:ind w:leftChars="0" w:rightChars="0" w:firstLine="640" w:firstLineChars="200"/>
        <w:jc w:val="left"/>
        <w:textAlignment w:val="auto"/>
        <w:rPr>
          <w:rFonts w:hint="eastAsia" w:ascii="Times New Roman" w:hAnsi="仿宋" w:eastAsia="仿宋" w:cs="仿宋"/>
          <w:b w:val="0"/>
          <w:i w:val="0"/>
          <w:color w:val="auto"/>
          <w:sz w:val="32"/>
          <w:szCs w:val="32"/>
          <w:highlight w:val="none"/>
          <w:lang w:val="en-US" w:eastAsia="zh-CN"/>
        </w:rPr>
      </w:pPr>
      <w:r>
        <w:rPr>
          <w:rFonts w:hint="eastAsia" w:ascii="Times New Roman" w:hAnsi="仿宋" w:eastAsia="仿宋" w:cs="仿宋"/>
          <w:b w:val="0"/>
          <w:i w:val="0"/>
          <w:color w:val="auto"/>
          <w:sz w:val="32"/>
          <w:szCs w:val="32"/>
          <w:highlight w:val="none"/>
          <w:lang w:val="en-US" w:eastAsia="zh-CN"/>
        </w:rPr>
        <w:t>当竞价金额超过1亿元时，竞买人须追加缴纳保证金人民币2000万元，追加时限为1个工作日。在追加保证金缴纳期间，竞价系统将暂停运行；自追加时限届满之时起，系统将自动恢复竞价流程，暂停时间累计为1个工作日。若在追加保证金的1个工作日期限内，无竞买人按规定完成追加缴纳，则以系统暂停前的最高有效报价对应的竞买人作为竞得人；若追加保证金期限届满后系统恢复竞价，但后续无人进行新的有效报价，亦以系统暂停前的最高有效报价对应的竞买人作为竞得人。</w:t>
      </w:r>
    </w:p>
    <w:p w14:paraId="75253F82">
      <w:pPr>
        <w:pageBreakBefore w:val="0"/>
        <w:kinsoku/>
        <w:wordWrap/>
        <w:overflowPunct/>
        <w:topLinePunct w:val="0"/>
        <w:autoSpaceDE/>
        <w:autoSpaceDN/>
        <w:bidi w:val="0"/>
        <w:snapToGrid/>
        <w:spacing w:beforeAutospacing="0" w:afterAutospacing="0" w:line="560" w:lineRule="exact"/>
        <w:ind w:left="0" w:leftChars="0" w:rightChars="0" w:firstLine="640" w:firstLineChars="200"/>
        <w:jc w:val="left"/>
        <w:textAlignment w:val="auto"/>
        <w:rPr>
          <w:rFonts w:hint="eastAsia" w:ascii="Times New Roman" w:hAnsi="仿宋" w:eastAsia="仿宋" w:cs="仿宋"/>
          <w:b w:val="0"/>
          <w:i w:val="0"/>
          <w:color w:val="auto"/>
          <w:sz w:val="32"/>
          <w:szCs w:val="32"/>
          <w:highlight w:val="none"/>
          <w:lang w:val="en-US" w:eastAsia="zh-CN"/>
        </w:rPr>
      </w:pPr>
      <w:r>
        <w:rPr>
          <w:rFonts w:hint="eastAsia" w:ascii="Times New Roman" w:hAnsi="仿宋" w:eastAsia="仿宋" w:cs="仿宋"/>
          <w:b w:val="0"/>
          <w:i w:val="0"/>
          <w:color w:val="auto"/>
          <w:sz w:val="32"/>
          <w:szCs w:val="32"/>
          <w:highlight w:val="none"/>
          <w:lang w:val="en-US" w:eastAsia="zh-CN"/>
        </w:rPr>
        <w:t>当竞价金额超过5亿元时，竞买人须再次追加保证金人民币5000万元，追加时限为2个工作日。在此期间，竞价系统暂停；自追加时限届满的时点起，项目将自动恢复竞价流程，暂停时间累计为2个工作日，若在追加保证金的期限内，无竞买人按规定完成追加缴纳，则以系统暂停前的最高有效报价对应的竞买人作为竞得人；若追加保证金期限届满后系统恢复竞价，但后续无人进行新的有效报价，亦以系统暂停前的最高有效报价对应的竞买人作为竞得人。自竞价金额达到5亿元后，不再设置后续保证金追加要求。</w:t>
      </w:r>
    </w:p>
    <w:p w14:paraId="2B3B846D">
      <w:pPr>
        <w:spacing w:beforeAutospacing="0" w:afterAutospacing="0" w:line="579" w:lineRule="exact"/>
        <w:ind w:leftChars="0" w:rightChars="0" w:firstLine="643" w:firstLineChars="200"/>
        <w:jc w:val="both"/>
        <w:rPr>
          <w:rFonts w:hint="eastAsia" w:ascii="Times New Roman" w:hAnsi="仿宋" w:eastAsia="仿宋" w:cs="仿宋"/>
          <w:b/>
          <w:bCs/>
          <w:i w:val="0"/>
          <w:color w:val="auto"/>
          <w:sz w:val="32"/>
          <w:szCs w:val="32"/>
          <w:highlight w:val="none"/>
          <w:lang w:val="en-US" w:eastAsia="zh-CN"/>
        </w:rPr>
      </w:pPr>
      <w:r>
        <w:rPr>
          <w:rFonts w:hint="eastAsia" w:ascii="Times New Roman" w:hAnsi="仿宋" w:eastAsia="仿宋" w:cs="仿宋"/>
          <w:b/>
          <w:bCs/>
          <w:i w:val="0"/>
          <w:color w:val="auto"/>
          <w:sz w:val="32"/>
          <w:szCs w:val="32"/>
          <w:highlight w:val="none"/>
          <w:lang w:val="en-US" w:eastAsia="zh-CN"/>
        </w:rPr>
        <w:t>示例说明：如项目于2025年7月25日（星期五）15:28暂停竞价，则系统将于2025年7月28日（星期一）15:28恢复竞价流程，恢复前竞买人的追加保证金须已到账，</w:t>
      </w:r>
      <w:r>
        <w:rPr>
          <w:rFonts w:hint="eastAsia" w:ascii="Times New Roman" w:hAnsi="仿宋_GB2312" w:eastAsia="仿宋_GB2312" w:cs="仿宋_GB2312"/>
          <w:b/>
          <w:bCs/>
          <w:i w:val="0"/>
          <w:sz w:val="32"/>
          <w:highlight w:val="none"/>
        </w:rPr>
        <w:t>逾期未足额到账的，视为自动放弃竞买资格。注意：追加保证金应汇入初次报名时由系统自动生成的保证金缴纳账户，不得变更或更换账户。为确保资金及时到账，请务必于每个工作日17:00前完成支付操作。请各竞买人提前做好准备。</w:t>
      </w:r>
      <w:r>
        <w:rPr>
          <w:rFonts w:hint="eastAsia" w:ascii="Times New Roman" w:hAnsi="仿宋_GB2312" w:eastAsia="仿宋_GB2312" w:cs="仿宋_GB2312"/>
          <w:b/>
          <w:bCs/>
          <w:i w:val="0"/>
          <w:sz w:val="32"/>
          <w:highlight w:val="none"/>
          <w:lang w:val="en-US" w:eastAsia="zh-CN"/>
        </w:rPr>
        <w:t>延时竞价将顺延。</w:t>
      </w:r>
    </w:p>
    <w:p w14:paraId="231C7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（2）保证金缴纳截止时间：报名截止日17:00之前到账。</w:t>
      </w:r>
    </w:p>
    <w:p w14:paraId="7AC88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eastAsia" w:ascii="Times New Roman" w:hAnsi="仿宋" w:eastAsia="仿宋" w:cs="仿宋"/>
          <w:b w:val="0"/>
          <w:i w:val="0"/>
          <w:color w:val="000000"/>
          <w:sz w:val="32"/>
          <w:szCs w:val="32"/>
          <w:highlight w:val="none"/>
          <w:lang w:val="en-US" w:eastAsia="zh-CN"/>
        </w:rPr>
        <w:t>按照出让面积设置保</w:t>
      </w:r>
      <w:r>
        <w:rPr>
          <w:rFonts w:hint="eastAsia" w:ascii="仿宋_GB2312" w:hAnsi="仿宋_GB2312" w:eastAsia="仿宋_GB2312" w:cs="仿宋_GB2312"/>
          <w:b w:val="0"/>
          <w:i w:val="0"/>
          <w:color w:val="000000"/>
          <w:sz w:val="32"/>
          <w:szCs w:val="32"/>
          <w:highlight w:val="none"/>
          <w:lang w:val="en-US" w:eastAsia="zh-CN"/>
        </w:rPr>
        <w:t>证金，0-15平方公里缴纳保证金500万元、15-30平方公里缴纳保证金1000万元、30平方公里以上缴纳保证金1500万元。（各项目保证金金额在报名</w:t>
      </w:r>
      <w:r>
        <w:rPr>
          <w:rFonts w:hint="eastAsia" w:hAnsi="仿宋" w:eastAsia="仿宋" w:cs="仿宋"/>
          <w:b w:val="0"/>
          <w:i w:val="0"/>
          <w:color w:val="000000"/>
          <w:sz w:val="32"/>
          <w:szCs w:val="32"/>
          <w:highlight w:val="none"/>
          <w:lang w:val="en-US" w:eastAsia="zh-CN"/>
        </w:rPr>
        <w:t>该项目时显示）</w:t>
      </w:r>
    </w:p>
    <w:p w14:paraId="5C1E5B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（3）保证金退还：未竞得人保证金将于延时竞价结束后5个工作日内退还至原账户；竞得人保证金将于签订《探矿权成交确认书》</w:t>
      </w:r>
      <w:r>
        <w:rPr>
          <w:rFonts w:hint="eastAsia" w:ascii="仿宋_GB2312" w:hAnsi="仿宋_GB2312" w:eastAsia="仿宋_GB2312" w:cs="仿宋_GB2312"/>
          <w:snapToGrid w:val="0"/>
          <w:color w:val="000000"/>
          <w:kern w:val="0"/>
          <w:sz w:val="32"/>
          <w:szCs w:val="32"/>
          <w:highlight w:val="none"/>
          <w:lang w:val="en-US" w:eastAsia="zh-CN"/>
        </w:rPr>
        <w:t>并按探矿权出让合同约定缴纳出让收益（上传“中央非税收入统一票据”至“竞得人保证金退还及其他材料”中并提交）</w:t>
      </w:r>
      <w:r>
        <w:rPr>
          <w:rFonts w:hint="default" w:ascii="仿宋_GB2312" w:hAnsi="仿宋_GB2312" w:eastAsia="仿宋_GB2312" w:cs="仿宋_GB2312"/>
          <w:snapToGrid w:val="0"/>
          <w:color w:val="000000"/>
          <w:kern w:val="0"/>
          <w:sz w:val="32"/>
          <w:szCs w:val="32"/>
          <w:highlight w:val="none"/>
          <w:lang w:val="en-US" w:eastAsia="zh-CN"/>
        </w:rPr>
        <w:t>后5个工作日内退还至原账户；项目报名截止前，取消报名的保证金将于项目报名截止后5个工作日内退还至原账户；项目发生中止、暂停、终止的，公告发布后5个工作日内退还至原账户。</w:t>
      </w:r>
    </w:p>
    <w:p w14:paraId="2DF9D328">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lang w:val="en-US" w:eastAsia="zh-CN"/>
        </w:rPr>
      </w:pPr>
      <w:r>
        <w:rPr>
          <w:rFonts w:hint="eastAsia" w:ascii="楷体_GB2312" w:hAnsi="楷体_GB2312" w:eastAsia="楷体_GB2312" w:cs="楷体_GB2312"/>
          <w:b w:val="0"/>
          <w:bCs w:val="0"/>
          <w:snapToGrid w:val="0"/>
          <w:color w:val="000000"/>
          <w:kern w:val="0"/>
          <w:sz w:val="32"/>
          <w:szCs w:val="21"/>
          <w:highlight w:val="none"/>
          <w:lang w:val="en-US" w:eastAsia="zh-CN"/>
        </w:rPr>
        <w:t>（四）资格审查</w:t>
      </w:r>
    </w:p>
    <w:p w14:paraId="0CAE7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bookmarkStart w:id="9" w:name="_Toc37108517"/>
      <w:bookmarkEnd w:id="9"/>
      <w:r>
        <w:rPr>
          <w:rFonts w:hint="default" w:ascii="仿宋_GB2312" w:hAnsi="仿宋_GB2312" w:eastAsia="仿宋_GB2312" w:cs="仿宋_GB2312"/>
          <w:snapToGrid w:val="0"/>
          <w:color w:val="000000"/>
          <w:kern w:val="0"/>
          <w:sz w:val="32"/>
          <w:szCs w:val="32"/>
          <w:highlight w:val="none"/>
          <w:lang w:val="en-US" w:eastAsia="zh-CN"/>
        </w:rPr>
        <w:t>1.意向竞买人提交报名材料后，交易中心在线进行资格审查。符合竞买人资格条件要求的，交易中心出具《竞买资格确认书》，意向竞买人取得交易资格。</w:t>
      </w:r>
    </w:p>
    <w:p w14:paraId="1E70F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 xml:space="preserve">2.报名材料存在下列问题，审核不予通过： </w:t>
      </w:r>
    </w:p>
    <w:p w14:paraId="3690FC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（1）不符合挂牌公告“竞买人资格条件”中的相关要求；</w:t>
      </w:r>
    </w:p>
    <w:p w14:paraId="516BD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（2）报名材料逾期提交或未按规定的要求和格式填写的；</w:t>
      </w:r>
    </w:p>
    <w:p w14:paraId="201AA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（3）缺少单位、法人签章的；</w:t>
      </w:r>
    </w:p>
    <w:p w14:paraId="44DF36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（4）内容不完整或关键信息字迹模糊、无法辨认的。</w:t>
      </w:r>
    </w:p>
    <w:p w14:paraId="70A95118">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lang w:val="en-US" w:eastAsia="zh-CN"/>
        </w:rPr>
      </w:pPr>
      <w:bookmarkStart w:id="10" w:name="_Toc37108519"/>
      <w:bookmarkEnd w:id="10"/>
      <w:bookmarkStart w:id="11" w:name="_Toc470767499"/>
      <w:bookmarkEnd w:id="11"/>
      <w:r>
        <w:rPr>
          <w:rFonts w:hint="eastAsia" w:ascii="黑体" w:hAnsi="黑体" w:eastAsia="黑体" w:cs="黑体"/>
          <w:b w:val="0"/>
          <w:bCs w:val="0"/>
          <w:snapToGrid w:val="0"/>
          <w:color w:val="000000"/>
          <w:kern w:val="0"/>
          <w:sz w:val="32"/>
          <w:szCs w:val="32"/>
          <w:highlight w:val="none"/>
          <w:lang w:val="en-US" w:eastAsia="zh-CN"/>
        </w:rPr>
        <w:t>四、挂牌交易</w:t>
      </w:r>
    </w:p>
    <w:p w14:paraId="1BA0C023">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（一）竞价程序及规则</w:t>
      </w:r>
    </w:p>
    <w:p w14:paraId="78E0A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bookmarkStart w:id="12" w:name="_Toc2710"/>
      <w:bookmarkEnd w:id="12"/>
      <w:r>
        <w:rPr>
          <w:rFonts w:hint="eastAsia" w:ascii="仿宋_GB2312" w:hAnsi="仿宋_GB2312" w:eastAsia="仿宋_GB2312" w:cs="仿宋_GB2312"/>
          <w:snapToGrid w:val="0"/>
          <w:color w:val="000000"/>
          <w:kern w:val="0"/>
          <w:sz w:val="32"/>
          <w:szCs w:val="32"/>
          <w:highlight w:val="none"/>
          <w:lang w:val="en-US" w:eastAsia="zh-CN"/>
        </w:rPr>
        <w:t>按照价高者得原则确定竞得人，不低于底价的最高报价者为竞得人。无人报价或者竞买人报价低于底价的，不成交。</w:t>
      </w:r>
    </w:p>
    <w:p w14:paraId="31B389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竞价程序及规则详见本文件第二章挂牌竞价规则。</w:t>
      </w:r>
    </w:p>
    <w:p w14:paraId="019A70CB">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（二）签订《探矿权成交确认书》</w:t>
      </w:r>
    </w:p>
    <w:p w14:paraId="6E2DE2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网上挂牌成交后，网上交易系统确定竞得人。竞得人按照系统提示即时与交易中心签订《探矿权成交确认书》。</w:t>
      </w:r>
    </w:p>
    <w:p w14:paraId="2F71D292">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rPr>
      </w:pPr>
      <w:r>
        <w:rPr>
          <w:rFonts w:hint="eastAsia" w:ascii="黑体" w:hAnsi="黑体" w:eastAsia="黑体" w:cs="黑体"/>
          <w:b w:val="0"/>
          <w:bCs w:val="0"/>
          <w:snapToGrid w:val="0"/>
          <w:color w:val="000000"/>
          <w:kern w:val="0"/>
          <w:sz w:val="32"/>
          <w:szCs w:val="32"/>
          <w:highlight w:val="none"/>
        </w:rPr>
        <w:t>五、挂牌结果公示</w:t>
      </w:r>
    </w:p>
    <w:p w14:paraId="6EC15D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挂牌结果将于《探矿权成交确认书》签订之日起5个工作日内在</w:t>
      </w:r>
      <w:r>
        <w:rPr>
          <w:rFonts w:hint="eastAsia" w:ascii="仿宋_GB2312" w:hAnsi="仿宋_GB2312" w:eastAsia="仿宋_GB2312" w:cs="仿宋_GB2312"/>
          <w:snapToGrid w:val="0"/>
          <w:color w:val="000000"/>
          <w:kern w:val="0"/>
          <w:sz w:val="32"/>
          <w:szCs w:val="32"/>
          <w:highlight w:val="none"/>
          <w:lang w:val="en-US" w:eastAsia="zh-CN"/>
        </w:rPr>
        <w:t>自然资源部网站、</w:t>
      </w:r>
      <w:r>
        <w:rPr>
          <w:rFonts w:hint="default" w:ascii="仿宋_GB2312" w:hAnsi="仿宋_GB2312" w:eastAsia="仿宋_GB2312" w:cs="仿宋_GB2312"/>
          <w:snapToGrid w:val="0"/>
          <w:color w:val="000000"/>
          <w:kern w:val="0"/>
          <w:sz w:val="32"/>
          <w:szCs w:val="32"/>
          <w:highlight w:val="none"/>
          <w:lang w:val="en-US" w:eastAsia="zh-CN"/>
        </w:rPr>
        <w:t>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default" w:ascii="仿宋_GB2312" w:hAnsi="仿宋_GB2312" w:eastAsia="仿宋_GB2312" w:cs="仿宋_GB2312"/>
          <w:snapToGrid w:val="0"/>
          <w:color w:val="000000"/>
          <w:kern w:val="0"/>
          <w:sz w:val="32"/>
          <w:szCs w:val="32"/>
          <w:highlight w:val="none"/>
          <w:lang w:val="en-US" w:eastAsia="zh-CN"/>
        </w:rPr>
        <w:t>自然资源</w:t>
      </w:r>
      <w:r>
        <w:rPr>
          <w:rFonts w:hint="eastAsia" w:ascii="仿宋_GB2312" w:hAnsi="仿宋_GB2312" w:eastAsia="仿宋_GB2312" w:cs="仿宋_GB2312"/>
          <w:snapToGrid w:val="0"/>
          <w:color w:val="000000"/>
          <w:kern w:val="0"/>
          <w:sz w:val="32"/>
          <w:szCs w:val="32"/>
          <w:highlight w:val="none"/>
          <w:lang w:val="en-US" w:eastAsia="zh-CN"/>
        </w:rPr>
        <w:t>局</w:t>
      </w:r>
      <w:r>
        <w:rPr>
          <w:rFonts w:hint="default" w:ascii="仿宋_GB2312" w:hAnsi="仿宋_GB2312" w:eastAsia="仿宋_GB2312" w:cs="仿宋_GB2312"/>
          <w:snapToGrid w:val="0"/>
          <w:color w:val="000000"/>
          <w:kern w:val="0"/>
          <w:sz w:val="32"/>
          <w:szCs w:val="32"/>
          <w:highlight w:val="none"/>
          <w:lang w:val="en-US" w:eastAsia="zh-CN"/>
        </w:rPr>
        <w:t>网站、</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w:t>
      </w:r>
      <w:r>
        <w:rPr>
          <w:rFonts w:hint="eastAsia" w:ascii="仿宋_GB2312" w:hAnsi="仿宋_GB2312" w:eastAsia="仿宋_GB2312" w:cs="仿宋_GB2312"/>
          <w:snapToGrid w:val="0"/>
          <w:color w:val="000000"/>
          <w:kern w:val="0"/>
          <w:sz w:val="32"/>
          <w:szCs w:val="32"/>
          <w:highlight w:val="none"/>
          <w:lang w:val="en-US" w:eastAsia="zh-CN"/>
        </w:rPr>
        <w:t>网站</w:t>
      </w:r>
      <w:r>
        <w:rPr>
          <w:rFonts w:hint="default" w:ascii="仿宋_GB2312" w:hAnsi="仿宋_GB2312" w:eastAsia="仿宋_GB2312" w:cs="仿宋_GB2312"/>
          <w:snapToGrid w:val="0"/>
          <w:color w:val="000000"/>
          <w:kern w:val="0"/>
          <w:sz w:val="32"/>
          <w:szCs w:val="32"/>
          <w:highlight w:val="none"/>
          <w:lang w:val="en-US" w:eastAsia="zh-CN"/>
        </w:rPr>
        <w:t>公示10个工作日。</w:t>
      </w:r>
    </w:p>
    <w:p w14:paraId="1271559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lang w:eastAsia="zh-CN"/>
        </w:rPr>
      </w:pPr>
      <w:r>
        <w:rPr>
          <w:rFonts w:hint="eastAsia" w:ascii="黑体" w:hAnsi="黑体" w:eastAsia="黑体" w:cs="黑体"/>
          <w:b w:val="0"/>
          <w:bCs w:val="0"/>
          <w:snapToGrid w:val="0"/>
          <w:color w:val="000000"/>
          <w:kern w:val="0"/>
          <w:sz w:val="32"/>
          <w:szCs w:val="32"/>
          <w:highlight w:val="none"/>
          <w:lang w:eastAsia="zh-CN"/>
        </w:rPr>
        <w:t>六、违约责任</w:t>
      </w:r>
    </w:p>
    <w:p w14:paraId="168EDD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有下列情形之一的，视为竞得人违约，缴纳的保证金不予退还，应按照约定承担相应的违约责任：</w:t>
      </w:r>
    </w:p>
    <w:p w14:paraId="5AB310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（一）竞得人未在当日或拒绝签订探矿权成交确认书和探矿权出让合同的；</w:t>
      </w:r>
    </w:p>
    <w:p w14:paraId="37E31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（二）竞得人未按约定的时间或拒绝付清交易服务费、矿业权出让收益或者其他相关费用的；</w:t>
      </w:r>
    </w:p>
    <w:p w14:paraId="45081C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（三）竞得人提供虚假文件或者隐瞒事实的；</w:t>
      </w:r>
    </w:p>
    <w:p w14:paraId="0034D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（四）向主管部门或者评标委员会及其成员行贿或者采取其他不正当手段竞得的；</w:t>
      </w:r>
    </w:p>
    <w:p w14:paraId="47961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（五）其他依法应当认定为违约行为的情形。</w:t>
      </w:r>
    </w:p>
    <w:p w14:paraId="6F112720">
      <w:pPr>
        <w:keepNext w:val="0"/>
        <w:keepLines w:val="0"/>
        <w:pageBreakBefore w:val="0"/>
        <w:widowControl w:val="0"/>
        <w:kinsoku/>
        <w:wordWrap/>
        <w:overflowPunct/>
        <w:autoSpaceDN/>
        <w:bidi w:val="0"/>
        <w:spacing w:before="340" w:beforeLines="0" w:beforeAutospacing="0" w:after="330" w:afterLines="0" w:afterAutospacing="0" w:line="560" w:lineRule="exact"/>
        <w:jc w:val="center"/>
        <w:outlineLvl w:val="0"/>
        <w:rPr>
          <w:rFonts w:hint="eastAsia" w:ascii="黑体" w:hAnsi="黑体" w:eastAsia="黑体" w:cs="黑体"/>
          <w:b w:val="0"/>
          <w:bCs w:val="0"/>
          <w:snapToGrid w:val="0"/>
          <w:color w:val="000000"/>
          <w:kern w:val="44"/>
          <w:sz w:val="32"/>
          <w:szCs w:val="32"/>
          <w:highlight w:val="none"/>
          <w:lang w:val="en-US" w:eastAsia="zh-CN" w:bidi="ar-SA"/>
        </w:rPr>
      </w:pPr>
      <w:bookmarkStart w:id="13" w:name="_Toc37108521"/>
      <w:bookmarkEnd w:id="13"/>
      <w:r>
        <w:rPr>
          <w:rFonts w:hint="eastAsia" w:ascii="黑体" w:hAnsi="黑体" w:eastAsia="黑体" w:cs="黑体"/>
          <w:b w:val="0"/>
          <w:bCs w:val="0"/>
          <w:snapToGrid w:val="0"/>
          <w:color w:val="000000"/>
          <w:kern w:val="44"/>
          <w:sz w:val="32"/>
          <w:szCs w:val="32"/>
          <w:highlight w:val="none"/>
          <w:lang w:val="en-US" w:eastAsia="zh-CN" w:bidi="ar-SA"/>
        </w:rPr>
        <w:t>第二章 挂牌竞价规则</w:t>
      </w:r>
    </w:p>
    <w:p w14:paraId="29E8F057">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snapToGrid w:val="0"/>
          <w:color w:val="000000"/>
          <w:kern w:val="0"/>
          <w:sz w:val="32"/>
          <w:szCs w:val="32"/>
          <w:highlight w:val="none"/>
        </w:rPr>
      </w:pPr>
      <w:bookmarkStart w:id="14" w:name="_Toc25914"/>
      <w:bookmarkEnd w:id="14"/>
      <w:bookmarkStart w:id="15" w:name="_Toc21196"/>
      <w:bookmarkEnd w:id="15"/>
      <w:bookmarkStart w:id="16" w:name="_Toc15544"/>
      <w:bookmarkEnd w:id="16"/>
      <w:r>
        <w:rPr>
          <w:rFonts w:hint="eastAsia" w:ascii="仿宋_GB2312" w:hAnsi="仿宋_GB2312" w:eastAsia="仿宋_GB2312" w:cs="仿宋_GB2312"/>
          <w:b w:val="0"/>
          <w:bCs w:val="0"/>
          <w:snapToGrid w:val="0"/>
          <w:color w:val="000000"/>
          <w:kern w:val="0"/>
          <w:sz w:val="32"/>
          <w:szCs w:val="32"/>
          <w:highlight w:val="none"/>
        </w:rPr>
        <w:t>一、凡参加挂牌竞价的竞买人必须遵守本规则各项规定，并对自己在交易活动中的行为负责。</w:t>
      </w:r>
    </w:p>
    <w:p w14:paraId="149CB429">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snapToGrid w:val="0"/>
          <w:color w:val="00000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rPr>
        <w:t>二、本次挂牌严格遵循“公开、公平、公正、诚实信用”的原则和“价高者得”的竞买原则。</w:t>
      </w:r>
    </w:p>
    <w:p w14:paraId="65ADF029">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snapToGrid w:val="0"/>
          <w:color w:val="00000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rPr>
        <w:t>三、报价程序</w:t>
      </w:r>
    </w:p>
    <w:p w14:paraId="54C5B1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（一）意向竞买人如确定参加竞买活动，须办理CA数字证书，报名并通过资格审查后，应在网上挂牌截止前凭CA数字证书登录交易系统进行网上报价。</w:t>
      </w:r>
    </w:p>
    <w:p w14:paraId="0827B3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（二）网上挂牌起始日即可按本次挂牌竞价规则进行网上有效报价和延时竞价的有效报价。</w:t>
      </w:r>
    </w:p>
    <w:p w14:paraId="772DD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（三）竞买人应当谨慎报价，报价一经提交并经交易系统记录即视为有效报价，不得撤回。</w:t>
      </w:r>
    </w:p>
    <w:p w14:paraId="6920D0E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snapToGrid w:val="0"/>
          <w:color w:val="00000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rPr>
        <w:t>四、网上竞价规则</w:t>
      </w:r>
    </w:p>
    <w:p w14:paraId="7401A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（一）以增价方式和规定的增价幅度或增价幅度的整数倍报价；</w:t>
      </w:r>
    </w:p>
    <w:p w14:paraId="77F05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（二）同一竞买人可多次报价；</w:t>
      </w:r>
    </w:p>
    <w:p w14:paraId="09CF7A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（三）初次报价不得低于起始价；</w:t>
      </w:r>
    </w:p>
    <w:p w14:paraId="367AC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（四）初次报价后的每次报价应当比当前最高有效报价递增一个加价幅度或其整数倍；</w:t>
      </w:r>
    </w:p>
    <w:p w14:paraId="772DF1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（五）符合相关条件的报价，交易系统予以接受，并即时公布；</w:t>
      </w:r>
    </w:p>
    <w:p w14:paraId="752C7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（六）网上挂牌竞价时间截止时无人报价的，网上挂牌不成交，系统自动终止该项目的网上挂牌活动。</w:t>
      </w:r>
    </w:p>
    <w:p w14:paraId="769F4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（七）网上挂牌竞价时间截止时只有1个竞买人报价，不低于</w:t>
      </w:r>
      <w:r>
        <w:rPr>
          <w:rFonts w:hint="eastAsia" w:ascii="仿宋_GB2312" w:hAnsi="仿宋_GB2312" w:eastAsia="仿宋_GB2312" w:cs="仿宋_GB2312"/>
          <w:snapToGrid w:val="0"/>
          <w:color w:val="000000"/>
          <w:kern w:val="0"/>
          <w:sz w:val="32"/>
          <w:szCs w:val="32"/>
          <w:highlight w:val="none"/>
          <w:lang w:val="en-US" w:eastAsia="zh-CN"/>
        </w:rPr>
        <w:t>底价</w:t>
      </w:r>
      <w:r>
        <w:rPr>
          <w:rFonts w:hint="default" w:ascii="仿宋_GB2312" w:hAnsi="仿宋_GB2312" w:eastAsia="仿宋_GB2312" w:cs="仿宋_GB2312"/>
          <w:snapToGrid w:val="0"/>
          <w:color w:val="000000"/>
          <w:kern w:val="0"/>
          <w:sz w:val="32"/>
          <w:szCs w:val="32"/>
          <w:highlight w:val="none"/>
        </w:rPr>
        <w:t>则该竞买人为竞得候选人。</w:t>
      </w:r>
    </w:p>
    <w:p w14:paraId="490E7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eastAsia="zh-CN"/>
        </w:rPr>
      </w:pPr>
      <w:r>
        <w:rPr>
          <w:rFonts w:hint="default" w:ascii="仿宋_GB2312" w:hAnsi="仿宋_GB2312" w:eastAsia="仿宋_GB2312" w:cs="仿宋_GB2312"/>
          <w:snapToGrid w:val="0"/>
          <w:color w:val="000000"/>
          <w:kern w:val="0"/>
          <w:sz w:val="32"/>
          <w:szCs w:val="32"/>
          <w:highlight w:val="none"/>
        </w:rPr>
        <w:t>（八）网上挂牌报价时间截止时，有1个以上竞买人报价，交易系统进入4分钟询问期，若无竞买人继续竞价，则挂牌活动结束。</w:t>
      </w:r>
      <w:r>
        <w:rPr>
          <w:rFonts w:hint="default" w:ascii="仿宋_GB2312" w:hAnsi="仿宋_GB2312" w:eastAsia="仿宋_GB2312" w:cs="仿宋_GB2312"/>
          <w:snapToGrid w:val="0"/>
          <w:color w:val="000000"/>
          <w:kern w:val="0"/>
          <w:sz w:val="32"/>
          <w:szCs w:val="32"/>
          <w:highlight w:val="none"/>
          <w:lang w:eastAsia="zh-CN"/>
        </w:rPr>
        <w:t>若还有继续竞价的，则转入限时竞价阶段。</w:t>
      </w:r>
    </w:p>
    <w:p w14:paraId="218C02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在挂牌竞价阶段内所有有效报价的竞买人</w:t>
      </w:r>
      <w:r>
        <w:rPr>
          <w:rFonts w:hint="eastAsia" w:ascii="仿宋_GB2312" w:hAnsi="仿宋_GB2312" w:eastAsia="仿宋_GB2312" w:cs="仿宋_GB2312"/>
          <w:snapToGrid w:val="0"/>
          <w:color w:val="000000"/>
          <w:kern w:val="0"/>
          <w:sz w:val="32"/>
          <w:szCs w:val="32"/>
          <w:highlight w:val="none"/>
          <w:lang w:val="en-US" w:eastAsia="zh-CN"/>
        </w:rPr>
        <w:t>在交易系统进入4分钟询问期时</w:t>
      </w:r>
      <w:r>
        <w:rPr>
          <w:rFonts w:hint="eastAsia" w:ascii="仿宋_GB2312" w:hAnsi="仿宋_GB2312" w:eastAsia="仿宋_GB2312" w:cs="仿宋_GB2312"/>
          <w:b/>
          <w:bCs/>
          <w:snapToGrid w:val="0"/>
          <w:color w:val="000000"/>
          <w:kern w:val="0"/>
          <w:sz w:val="32"/>
          <w:szCs w:val="32"/>
          <w:highlight w:val="none"/>
          <w:lang w:val="en-US" w:eastAsia="zh-CN"/>
        </w:rPr>
        <w:t>点击“参加”按键确认参与限时竞价，若竞买人点击“不参加”或未进行任何操作视为竞买人不参与限时竞价</w:t>
      </w:r>
      <w:r>
        <w:rPr>
          <w:rFonts w:hint="eastAsia" w:ascii="仿宋_GB2312" w:hAnsi="仿宋_GB2312" w:eastAsia="仿宋_GB2312" w:cs="仿宋_GB2312"/>
          <w:snapToGrid w:val="0"/>
          <w:color w:val="000000"/>
          <w:kern w:val="0"/>
          <w:sz w:val="32"/>
          <w:szCs w:val="32"/>
          <w:highlight w:val="none"/>
          <w:lang w:val="en-US" w:eastAsia="zh-CN"/>
        </w:rPr>
        <w:t>，在挂牌竞价阶段内未</w:t>
      </w:r>
      <w:r>
        <w:rPr>
          <w:rFonts w:hint="default" w:ascii="仿宋_GB2312" w:hAnsi="仿宋_GB2312" w:eastAsia="仿宋_GB2312" w:cs="仿宋_GB2312"/>
          <w:snapToGrid w:val="0"/>
          <w:color w:val="000000"/>
          <w:kern w:val="0"/>
          <w:sz w:val="32"/>
          <w:szCs w:val="32"/>
          <w:highlight w:val="none"/>
        </w:rPr>
        <w:t>报价或报价无效的竞买人不能参加限时竞价。</w:t>
      </w:r>
    </w:p>
    <w:p w14:paraId="29D92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（九）限时竞价阶段以4分钟倒计时为竞价时限，如在4分钟倒计时内有新的报价，系统即从接受新的报价起重新倒计时</w:t>
      </w:r>
      <w:r>
        <w:rPr>
          <w:rFonts w:hint="eastAsia" w:ascii="仿宋_GB2312" w:hAnsi="仿宋_GB2312" w:eastAsia="仿宋_GB2312" w:cs="仿宋_GB2312"/>
          <w:snapToGrid w:val="0"/>
          <w:color w:val="000000"/>
          <w:kern w:val="0"/>
          <w:sz w:val="32"/>
          <w:szCs w:val="32"/>
          <w:highlight w:val="none"/>
          <w:lang w:val="en-US" w:eastAsia="zh-CN"/>
        </w:rPr>
        <w:t>4分钟</w:t>
      </w:r>
      <w:r>
        <w:rPr>
          <w:rFonts w:hint="default" w:ascii="仿宋_GB2312" w:hAnsi="仿宋_GB2312" w:eastAsia="仿宋_GB2312" w:cs="仿宋_GB2312"/>
          <w:snapToGrid w:val="0"/>
          <w:color w:val="000000"/>
          <w:kern w:val="0"/>
          <w:sz w:val="32"/>
          <w:szCs w:val="32"/>
          <w:highlight w:val="none"/>
        </w:rPr>
        <w:t>。</w:t>
      </w:r>
      <w:r>
        <w:rPr>
          <w:rFonts w:hint="eastAsia" w:ascii="仿宋_GB2312" w:hAnsi="仿宋_GB2312" w:eastAsia="仿宋_GB2312" w:cs="仿宋_GB2312"/>
          <w:snapToGrid w:val="0"/>
          <w:color w:val="000000"/>
          <w:kern w:val="0"/>
          <w:sz w:val="32"/>
          <w:szCs w:val="32"/>
          <w:highlight w:val="none"/>
          <w:lang w:val="en-US" w:eastAsia="zh-CN"/>
        </w:rPr>
        <w:t>4分钟</w:t>
      </w:r>
      <w:r>
        <w:rPr>
          <w:rFonts w:hint="default" w:ascii="仿宋_GB2312" w:hAnsi="仿宋_GB2312" w:eastAsia="仿宋_GB2312" w:cs="仿宋_GB2312"/>
          <w:snapToGrid w:val="0"/>
          <w:color w:val="000000"/>
          <w:kern w:val="0"/>
          <w:sz w:val="32"/>
          <w:szCs w:val="32"/>
          <w:highlight w:val="none"/>
        </w:rPr>
        <w:t>倒计时截止无新的报价，则挂牌活动结束，系统即时关闭报价通道</w:t>
      </w:r>
      <w:r>
        <w:rPr>
          <w:rFonts w:hint="default" w:ascii="仿宋_GB2312" w:hAnsi="仿宋_GB2312" w:eastAsia="仿宋_GB2312" w:cs="仿宋_GB2312"/>
          <w:snapToGrid w:val="0"/>
          <w:color w:val="000000"/>
          <w:kern w:val="0"/>
          <w:sz w:val="32"/>
          <w:szCs w:val="32"/>
          <w:highlight w:val="none"/>
          <w:lang w:eastAsia="zh-CN"/>
        </w:rPr>
        <w:t>，</w:t>
      </w:r>
      <w:r>
        <w:rPr>
          <w:rFonts w:hint="default" w:ascii="仿宋_GB2312" w:hAnsi="仿宋_GB2312" w:eastAsia="仿宋_GB2312" w:cs="仿宋_GB2312"/>
          <w:snapToGrid w:val="0"/>
          <w:color w:val="000000"/>
          <w:kern w:val="0"/>
          <w:sz w:val="32"/>
          <w:szCs w:val="32"/>
          <w:highlight w:val="none"/>
        </w:rPr>
        <w:t>报价最高者为竞得候选人。</w:t>
      </w:r>
    </w:p>
    <w:p w14:paraId="0F53E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（十）在挂牌竞价阶段内所有有效报价的竞买人均可参加延时竞价，未报价或报价无效的竞买人不能参加延时竞价。</w:t>
      </w:r>
    </w:p>
    <w:p w14:paraId="63B84A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（十一）本次挂牌出让的项目，其延时竞价环节将按《出让探矿权基本情况表》中序号依次进行，前一个项目竞价结束后，再启动下一个项目的竞价。请报名</w:t>
      </w:r>
      <w:r>
        <w:rPr>
          <w:rFonts w:hint="eastAsia" w:ascii="仿宋_GB2312" w:hAnsi="仿宋_GB2312" w:eastAsia="仿宋_GB2312" w:cs="仿宋_GB2312"/>
          <w:snapToGrid w:val="0"/>
          <w:color w:val="000000"/>
          <w:kern w:val="0"/>
          <w:sz w:val="32"/>
          <w:szCs w:val="32"/>
          <w:highlight w:val="none"/>
          <w:lang w:val="en-US" w:eastAsia="zh-CN"/>
        </w:rPr>
        <w:t>项目</w:t>
      </w:r>
      <w:r>
        <w:rPr>
          <w:rFonts w:hint="default" w:ascii="仿宋_GB2312" w:hAnsi="仿宋_GB2312" w:eastAsia="仿宋_GB2312" w:cs="仿宋_GB2312"/>
          <w:snapToGrid w:val="0"/>
          <w:color w:val="000000"/>
          <w:kern w:val="0"/>
          <w:sz w:val="32"/>
          <w:szCs w:val="32"/>
          <w:highlight w:val="none"/>
        </w:rPr>
        <w:t>序号靠后的竞买人密切关注交易系统动态，耐心等待相应项目的竞价开始。如因未及时关注而错过竞价，交易中心不承担相关责任。</w:t>
      </w:r>
    </w:p>
    <w:p w14:paraId="391F2ACA">
      <w:pPr>
        <w:keepNext w:val="0"/>
        <w:keepLines w:val="0"/>
        <w:pageBreakBefore w:val="0"/>
        <w:widowControl w:val="0"/>
        <w:kinsoku/>
        <w:wordWrap/>
        <w:overflowPunct/>
        <w:autoSpaceDN/>
        <w:bidi w:val="0"/>
        <w:spacing w:before="340" w:beforeLines="0" w:beforeAutospacing="0" w:after="330" w:afterLines="0" w:afterAutospacing="0" w:line="560" w:lineRule="exact"/>
        <w:jc w:val="center"/>
        <w:outlineLvl w:val="0"/>
        <w:rPr>
          <w:rFonts w:hint="eastAsia" w:ascii="黑体" w:hAnsi="黑体" w:eastAsia="黑体" w:cs="黑体"/>
          <w:b w:val="0"/>
          <w:bCs w:val="0"/>
          <w:snapToGrid w:val="0"/>
          <w:color w:val="000000"/>
          <w:kern w:val="44"/>
          <w:sz w:val="32"/>
          <w:szCs w:val="32"/>
          <w:highlight w:val="none"/>
          <w:lang w:val="en-US" w:eastAsia="zh-CN" w:bidi="ar-SA"/>
        </w:rPr>
      </w:pPr>
      <w:r>
        <w:rPr>
          <w:rFonts w:hint="eastAsia" w:ascii="黑体" w:hAnsi="黑体" w:eastAsia="黑体" w:cs="黑体"/>
          <w:b w:val="0"/>
          <w:bCs w:val="0"/>
          <w:snapToGrid w:val="0"/>
          <w:color w:val="000000"/>
          <w:kern w:val="44"/>
          <w:sz w:val="32"/>
          <w:szCs w:val="32"/>
          <w:highlight w:val="none"/>
          <w:lang w:val="en-US" w:eastAsia="zh-CN" w:bidi="ar-SA"/>
        </w:rPr>
        <w:t>第三章 其他材料</w:t>
      </w:r>
    </w:p>
    <w:p w14:paraId="27610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1.竞买资格确认书（样式）</w:t>
      </w:r>
    </w:p>
    <w:p w14:paraId="1B5B1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2.探矿权成交确认书（样式）</w:t>
      </w:r>
    </w:p>
    <w:p w14:paraId="09B5658E">
      <w:pPr>
        <w:keepNext w:val="0"/>
        <w:keepLines w:val="0"/>
        <w:pageBreakBefore w:val="0"/>
        <w:widowControl w:val="0"/>
        <w:kinsoku/>
        <w:wordWrap/>
        <w:overflowPunct/>
        <w:autoSpaceDN/>
        <w:bidi w:val="0"/>
        <w:spacing w:before="0" w:beforeAutospacing="0" w:after="0" w:afterAutospacing="0" w:line="560" w:lineRule="exact"/>
        <w:ind w:left="0" w:right="0"/>
        <w:jc w:val="both"/>
        <w:rPr>
          <w:rFonts w:hint="eastAsia" w:ascii="小标宋" w:hAnsi="Times New Roman" w:eastAsia="小标宋" w:cs="Times New Roman"/>
          <w:snapToGrid w:val="0"/>
          <w:color w:val="000000"/>
          <w:kern w:val="2"/>
          <w:sz w:val="44"/>
          <w:szCs w:val="44"/>
          <w:highlight w:val="none"/>
          <w:lang w:val="en-US" w:eastAsia="zh-CN" w:bidi="ar"/>
        </w:rPr>
      </w:pPr>
      <w:r>
        <w:rPr>
          <w:rFonts w:hint="eastAsia" w:ascii="小标宋" w:hAnsi="Times New Roman" w:eastAsia="小标宋" w:cs="Times New Roman"/>
          <w:snapToGrid w:val="0"/>
          <w:color w:val="000000"/>
          <w:kern w:val="2"/>
          <w:sz w:val="44"/>
          <w:szCs w:val="44"/>
          <w:highlight w:val="none"/>
          <w:lang w:val="en-US" w:eastAsia="zh-CN" w:bidi="ar"/>
        </w:rPr>
        <w:br w:type="page"/>
      </w:r>
    </w:p>
    <w:p w14:paraId="7801FB53">
      <w:pPr>
        <w:keepNext w:val="0"/>
        <w:keepLines w:val="0"/>
        <w:pageBreakBefore w:val="0"/>
        <w:widowControl w:val="0"/>
        <w:kinsoku/>
        <w:wordWrap/>
        <w:overflowPunct/>
        <w:autoSpaceDN/>
        <w:bidi w:val="0"/>
        <w:spacing w:before="0" w:beforeAutospacing="0" w:after="0" w:afterAutospacing="0" w:line="560" w:lineRule="exact"/>
        <w:ind w:left="0" w:right="0"/>
        <w:jc w:val="center"/>
        <w:rPr>
          <w:rFonts w:hint="eastAsia" w:ascii="黑体" w:hAnsi="黑体" w:eastAsia="黑体" w:cs="黑体"/>
          <w:snapToGrid w:val="0"/>
          <w:color w:val="000000"/>
          <w:kern w:val="2"/>
          <w:sz w:val="44"/>
          <w:szCs w:val="44"/>
          <w:highlight w:val="none"/>
          <w:lang w:val="en-US" w:eastAsia="zh-CN" w:bidi="ar"/>
        </w:rPr>
      </w:pPr>
    </w:p>
    <w:p w14:paraId="56DEB374">
      <w:pPr>
        <w:keepNext w:val="0"/>
        <w:keepLines w:val="0"/>
        <w:pageBreakBefore w:val="0"/>
        <w:widowControl w:val="0"/>
        <w:kinsoku/>
        <w:wordWrap/>
        <w:overflowPunct/>
        <w:autoSpaceDN/>
        <w:bidi w:val="0"/>
        <w:spacing w:before="0" w:beforeAutospacing="0" w:after="0" w:afterAutospacing="0" w:line="560" w:lineRule="exact"/>
        <w:ind w:left="0" w:right="0"/>
        <w:jc w:val="center"/>
        <w:rPr>
          <w:rFonts w:hint="eastAsia" w:ascii="Arial Unicode MS" w:hAnsi="Arial Unicode MS" w:eastAsia="Arial Unicode MS" w:cs="Arial Unicode MS"/>
          <w:snapToGrid w:val="0"/>
          <w:color w:val="000000"/>
          <w:kern w:val="2"/>
          <w:sz w:val="44"/>
          <w:szCs w:val="44"/>
          <w:highlight w:val="none"/>
          <w:lang w:val="en-US" w:eastAsia="zh-CN" w:bidi="ar"/>
        </w:rPr>
      </w:pPr>
      <w:r>
        <w:rPr>
          <w:rFonts w:hint="eastAsia" w:ascii="黑体" w:hAnsi="黑体" w:eastAsia="黑体" w:cs="黑体"/>
          <w:snapToGrid w:val="0"/>
          <w:color w:val="000000"/>
          <w:kern w:val="2"/>
          <w:sz w:val="44"/>
          <w:szCs w:val="44"/>
          <w:highlight w:val="none"/>
          <w:lang w:val="en-US" w:eastAsia="zh-CN" w:bidi="ar"/>
        </w:rPr>
        <w:t>竞买资格确认书</w:t>
      </w:r>
    </w:p>
    <w:p w14:paraId="157F0E08">
      <w:pPr>
        <w:keepNext w:val="0"/>
        <w:keepLines w:val="0"/>
        <w:pageBreakBefore w:val="0"/>
        <w:widowControl w:val="0"/>
        <w:kinsoku/>
        <w:wordWrap/>
        <w:overflowPunct/>
        <w:autoSpaceDN/>
        <w:bidi w:val="0"/>
        <w:spacing w:line="560" w:lineRule="exact"/>
        <w:jc w:val="both"/>
        <w:rPr>
          <w:rFonts w:ascii="Times New Roman" w:hAnsi="Times New Roman" w:eastAsia="仿宋_GB2312" w:cs="Times New Roman"/>
          <w:color w:val="000000"/>
          <w:kern w:val="2"/>
          <w:sz w:val="32"/>
          <w:szCs w:val="32"/>
          <w:highlight w:val="none"/>
          <w:lang w:val="en-US" w:eastAsia="zh-CN" w:bidi="ar-SA"/>
        </w:rPr>
      </w:pPr>
    </w:p>
    <w:p w14:paraId="09AED0D1">
      <w:pPr>
        <w:keepNext w:val="0"/>
        <w:keepLines w:val="0"/>
        <w:pageBreakBefore w:val="0"/>
        <w:widowControl w:val="0"/>
        <w:kinsoku/>
        <w:wordWrap/>
        <w:overflowPunct/>
        <w:autoSpaceDN/>
        <w:bidi w:val="0"/>
        <w:spacing w:line="640" w:lineRule="exact"/>
        <w:jc w:val="both"/>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仿宋_GB2312" w:hAnsi="仿宋_GB2312" w:eastAsia="仿宋_GB2312" w:cs="仿宋_GB2312"/>
          <w:b/>
          <w:color w:val="000000"/>
          <w:kern w:val="2"/>
          <w:sz w:val="32"/>
          <w:szCs w:val="32"/>
          <w:highlight w:val="none"/>
          <w:lang w:val="en-US" w:eastAsia="zh-CN" w:bidi="ar-SA"/>
        </w:rPr>
        <w:t>：</w:t>
      </w:r>
    </w:p>
    <w:p w14:paraId="06D14099">
      <w:pPr>
        <w:keepNext w:val="0"/>
        <w:keepLines w:val="0"/>
        <w:pageBreakBefore w:val="0"/>
        <w:widowControl w:val="0"/>
        <w:kinsoku/>
        <w:wordWrap/>
        <w:overflowPunct/>
        <w:autoSpaceDN/>
        <w:bidi w:val="0"/>
        <w:spacing w:line="640" w:lineRule="exact"/>
        <w:ind w:firstLine="640" w:firstLineChars="200"/>
        <w:jc w:val="both"/>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提交的探矿权竞买申请书及相关资料收悉。经审查，符合本次挂牌出让公告的相关约定，现确认你方具备参加本次探矿权挂牌出让活动竞买资格。</w:t>
      </w:r>
    </w:p>
    <w:p w14:paraId="6DB5D559">
      <w:pPr>
        <w:keepNext w:val="0"/>
        <w:keepLines w:val="0"/>
        <w:pageBreakBefore w:val="0"/>
        <w:widowControl w:val="0"/>
        <w:kinsoku/>
        <w:wordWrap/>
        <w:overflowPunct/>
        <w:autoSpaceDN/>
        <w:bidi w:val="0"/>
        <w:spacing w:line="640" w:lineRule="exact"/>
        <w:ind w:firstLine="640" w:firstLineChars="200"/>
        <w:jc w:val="both"/>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特此确认。</w:t>
      </w:r>
    </w:p>
    <w:p w14:paraId="13AF828A">
      <w:pPr>
        <w:keepNext w:val="0"/>
        <w:keepLines w:val="0"/>
        <w:pageBreakBefore w:val="0"/>
        <w:widowControl w:val="0"/>
        <w:kinsoku/>
        <w:wordWrap/>
        <w:overflowPunct/>
        <w:topLinePunct/>
        <w:autoSpaceDN/>
        <w:bidi w:val="0"/>
        <w:adjustRightInd w:val="0"/>
        <w:snapToGrid w:val="0"/>
        <w:spacing w:line="640" w:lineRule="exact"/>
        <w:ind w:right="640"/>
        <w:jc w:val="center"/>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 xml:space="preserve">                      </w:t>
      </w:r>
    </w:p>
    <w:p w14:paraId="2A6AD467">
      <w:pPr>
        <w:keepNext w:val="0"/>
        <w:keepLines w:val="0"/>
        <w:pageBreakBefore w:val="0"/>
        <w:widowControl w:val="0"/>
        <w:kinsoku/>
        <w:wordWrap/>
        <w:overflowPunct/>
        <w:topLinePunct/>
        <w:autoSpaceDN/>
        <w:bidi w:val="0"/>
        <w:adjustRightInd w:val="0"/>
        <w:snapToGrid w:val="0"/>
        <w:spacing w:line="640" w:lineRule="exact"/>
        <w:ind w:right="640"/>
        <w:jc w:val="center"/>
        <w:rPr>
          <w:rFonts w:hint="eastAsia" w:ascii="仿宋_GB2312" w:hAnsi="仿宋_GB2312" w:eastAsia="仿宋_GB2312" w:cs="仿宋_GB2312"/>
          <w:snapToGrid w:val="0"/>
          <w:color w:val="000000"/>
          <w:kern w:val="0"/>
          <w:sz w:val="32"/>
          <w:szCs w:val="32"/>
          <w:highlight w:val="none"/>
        </w:rPr>
      </w:pPr>
    </w:p>
    <w:p w14:paraId="16A1A1C0">
      <w:pPr>
        <w:keepNext w:val="0"/>
        <w:keepLines w:val="0"/>
        <w:pageBreakBefore w:val="0"/>
        <w:widowControl w:val="0"/>
        <w:kinsoku/>
        <w:wordWrap/>
        <w:overflowPunct/>
        <w:topLinePunct/>
        <w:autoSpaceDN/>
        <w:bidi w:val="0"/>
        <w:adjustRightInd w:val="0"/>
        <w:snapToGrid w:val="0"/>
        <w:spacing w:line="640" w:lineRule="exact"/>
        <w:jc w:val="center"/>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 xml:space="preserve">    </w:t>
      </w:r>
      <w:r>
        <w:rPr>
          <w:rFonts w:hint="eastAsia" w:ascii="仿宋_GB2312" w:hAnsi="仿宋_GB2312" w:eastAsia="仿宋_GB2312" w:cs="仿宋_GB2312"/>
          <w:snapToGrid w:val="0"/>
          <w:color w:val="000000"/>
          <w:kern w:val="0"/>
          <w:sz w:val="32"/>
          <w:szCs w:val="32"/>
          <w:highlight w:val="none"/>
          <w:lang w:val="en-US" w:eastAsia="zh-CN"/>
        </w:rPr>
        <w:t xml:space="preserve">       </w:t>
      </w:r>
      <w:r>
        <w:rPr>
          <w:rFonts w:hint="eastAsia" w:ascii="仿宋_GB2312" w:hAnsi="仿宋_GB2312" w:eastAsia="仿宋_GB2312" w:cs="仿宋_GB2312"/>
          <w:snapToGrid w:val="0"/>
          <w:color w:val="000000"/>
          <w:kern w:val="0"/>
          <w:sz w:val="32"/>
          <w:szCs w:val="32"/>
          <w:highlight w:val="none"/>
        </w:rPr>
        <w:t xml:space="preserve"> </w:t>
      </w:r>
      <w:r>
        <w:rPr>
          <w:rFonts w:hint="eastAsia" w:ascii="仿宋_GB2312" w:hAnsi="仿宋_GB2312" w:eastAsia="仿宋_GB2312" w:cs="仿宋_GB2312"/>
          <w:snapToGrid w:val="0"/>
          <w:color w:val="000000"/>
          <w:kern w:val="0"/>
          <w:sz w:val="32"/>
          <w:szCs w:val="32"/>
          <w:highlight w:val="none"/>
          <w:lang w:val="en-US" w:eastAsia="zh-CN"/>
        </w:rPr>
        <w:t>新疆生产建设兵团</w:t>
      </w:r>
      <w:r>
        <w:rPr>
          <w:rFonts w:hint="eastAsia" w:ascii="仿宋_GB2312" w:hAnsi="仿宋_GB2312" w:eastAsia="仿宋_GB2312" w:cs="仿宋_GB2312"/>
          <w:snapToGrid w:val="0"/>
          <w:color w:val="000000"/>
          <w:kern w:val="0"/>
          <w:sz w:val="32"/>
          <w:szCs w:val="32"/>
          <w:highlight w:val="none"/>
        </w:rPr>
        <w:t>公共资源交易中心</w:t>
      </w:r>
    </w:p>
    <w:p w14:paraId="41A53567">
      <w:pPr>
        <w:keepNext w:val="0"/>
        <w:keepLines w:val="0"/>
        <w:pageBreakBefore w:val="0"/>
        <w:widowControl w:val="0"/>
        <w:kinsoku/>
        <w:wordWrap/>
        <w:overflowPunct/>
        <w:topLinePunct/>
        <w:autoSpaceDN/>
        <w:bidi w:val="0"/>
        <w:adjustRightInd w:val="0"/>
        <w:snapToGrid w:val="0"/>
        <w:spacing w:line="640" w:lineRule="exact"/>
        <w:ind w:right="1120"/>
        <w:jc w:val="center"/>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 xml:space="preserve">             </w:t>
      </w:r>
      <w:r>
        <w:rPr>
          <w:rFonts w:hint="eastAsia" w:ascii="仿宋_GB2312" w:hAnsi="仿宋_GB2312" w:eastAsia="仿宋_GB2312" w:cs="仿宋_GB2312"/>
          <w:snapToGrid w:val="0"/>
          <w:color w:val="000000"/>
          <w:kern w:val="0"/>
          <w:sz w:val="32"/>
          <w:szCs w:val="32"/>
          <w:highlight w:val="none"/>
          <w:lang w:val="en-US" w:eastAsia="zh-CN"/>
        </w:rPr>
        <w:t xml:space="preserve">      </w:t>
      </w:r>
      <w:r>
        <w:rPr>
          <w:rFonts w:hint="eastAsia" w:ascii="仿宋_GB2312" w:hAnsi="仿宋_GB2312" w:eastAsia="仿宋_GB2312" w:cs="仿宋_GB2312"/>
          <w:snapToGrid w:val="0"/>
          <w:color w:val="000000"/>
          <w:kern w:val="0"/>
          <w:sz w:val="32"/>
          <w:szCs w:val="32"/>
          <w:highlight w:val="none"/>
        </w:rPr>
        <w:t>年  月  日</w:t>
      </w:r>
    </w:p>
    <w:p w14:paraId="0611A521">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2E7363D5">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6EF8A356">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1039510A">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7257E0B8">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66BB62DD">
      <w:pPr>
        <w:rPr>
          <w:rFonts w:hint="default" w:ascii="Times New Roman" w:hAnsi="Times New Roman" w:eastAsia="仿宋" w:cs="Times New Roman"/>
          <w:b w:val="0"/>
          <w:snapToGrid w:val="0"/>
          <w:color w:val="000000"/>
          <w:kern w:val="0"/>
          <w:sz w:val="32"/>
          <w:szCs w:val="32"/>
          <w:highlight w:val="none"/>
        </w:rPr>
      </w:pPr>
    </w:p>
    <w:p w14:paraId="34284EC2">
      <w:pPr>
        <w:widowControl/>
        <w:spacing w:before="100" w:beforeAutospacing="1" w:after="100" w:afterAutospacing="1"/>
        <w:jc w:val="left"/>
        <w:outlineLvl w:val="1"/>
        <w:rPr>
          <w:rFonts w:hint="default" w:ascii="宋体" w:hAnsi="宋体" w:eastAsia="宋体" w:cs="仿宋_GB2312"/>
          <w:b/>
          <w:bCs/>
          <w:snapToGrid w:val="0"/>
          <w:kern w:val="0"/>
          <w:sz w:val="36"/>
          <w:szCs w:val="36"/>
          <w:highlight w:val="none"/>
          <w:lang w:val="en-US" w:eastAsia="zh-CN" w:bidi="ar-SA"/>
        </w:rPr>
      </w:pPr>
    </w:p>
    <w:p w14:paraId="065E8CEC">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both"/>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0096BCD0">
      <w:pPr>
        <w:keepNext w:val="0"/>
        <w:keepLines w:val="0"/>
        <w:pageBreakBefore w:val="0"/>
        <w:widowControl w:val="0"/>
        <w:kinsoku/>
        <w:wordWrap/>
        <w:overflowPunct/>
        <w:autoSpaceDN/>
        <w:bidi w:val="0"/>
        <w:rPr>
          <w:rFonts w:hint="eastAsia" w:cs="仿宋_GB2312"/>
          <w:snapToGrid w:val="0"/>
          <w:kern w:val="0"/>
          <w:sz w:val="32"/>
          <w:szCs w:val="21"/>
          <w:highlight w:val="none"/>
        </w:rPr>
      </w:pPr>
    </w:p>
    <w:p w14:paraId="3284B2A2">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eastAsia" w:ascii="Arial Unicode MS" w:hAnsi="Times New Roman" w:eastAsia="Arial Unicode MS" w:cs="仿宋_GB2312"/>
          <w:b w:val="0"/>
          <w:snapToGrid w:val="0"/>
          <w:color w:val="000000"/>
          <w:kern w:val="44"/>
          <w:sz w:val="44"/>
          <w:szCs w:val="44"/>
          <w:highlight w:val="none"/>
          <w:lang w:val="en-US" w:eastAsia="zh-CN" w:bidi="ar-SA"/>
        </w:rPr>
      </w:pPr>
      <w:r>
        <w:rPr>
          <w:rFonts w:hint="eastAsia" w:ascii="黑体" w:hAnsi="黑体" w:eastAsia="黑体" w:cs="黑体"/>
          <w:b w:val="0"/>
          <w:snapToGrid w:val="0"/>
          <w:color w:val="000000"/>
          <w:kern w:val="44"/>
          <w:sz w:val="44"/>
          <w:szCs w:val="44"/>
          <w:highlight w:val="none"/>
          <w:lang w:val="en-US" w:eastAsia="zh-CN" w:bidi="ar-SA"/>
        </w:rPr>
        <w:t>探矿权成交确认书</w:t>
      </w:r>
    </w:p>
    <w:p w14:paraId="014AF769">
      <w:pPr>
        <w:keepNext w:val="0"/>
        <w:keepLines w:val="0"/>
        <w:pageBreakBefore w:val="0"/>
        <w:widowControl w:val="0"/>
        <w:kinsoku/>
        <w:wordWrap/>
        <w:overflowPunct/>
        <w:autoSpaceDN/>
        <w:bidi w:val="0"/>
        <w:spacing w:before="0" w:beforeAutospacing="0" w:after="0" w:afterAutospacing="0" w:line="560" w:lineRule="exact"/>
        <w:ind w:left="0" w:right="0"/>
        <w:jc w:val="center"/>
        <w:rPr>
          <w:rFonts w:hint="eastAsia" w:ascii="楷体_GB2312" w:hAnsi="楷体_GB2312" w:eastAsia="楷体_GB2312" w:cs="楷体_GB2312"/>
          <w:snapToGrid w:val="0"/>
          <w:color w:val="000000"/>
          <w:kern w:val="0"/>
          <w:sz w:val="32"/>
          <w:szCs w:val="32"/>
          <w:highlight w:val="none"/>
          <w:lang w:val="en-US" w:eastAsia="zh-CN" w:bidi="ar"/>
        </w:rPr>
      </w:pPr>
      <w:r>
        <w:rPr>
          <w:rFonts w:hint="eastAsia" w:ascii="楷体_GB2312" w:hAnsi="楷体_GB2312" w:eastAsia="楷体_GB2312" w:cs="楷体_GB2312"/>
          <w:snapToGrid w:val="0"/>
          <w:color w:val="000000"/>
          <w:kern w:val="0"/>
          <w:sz w:val="32"/>
          <w:szCs w:val="32"/>
          <w:highlight w:val="none"/>
          <w:lang w:val="en-US" w:eastAsia="zh-CN" w:bidi="ar"/>
        </w:rPr>
        <w:t>（编号：20</w:t>
      </w:r>
      <w:r>
        <w:rPr>
          <w:rFonts w:hint="eastAsia" w:ascii="楷体_GB2312" w:hAnsi="楷体_GB2312" w:eastAsia="楷体_GB2312" w:cs="楷体_GB2312"/>
          <w:bCs/>
          <w:snapToGrid w:val="0"/>
          <w:color w:val="000000"/>
          <w:kern w:val="0"/>
          <w:sz w:val="32"/>
          <w:szCs w:val="32"/>
          <w:highlight w:val="none"/>
          <w:lang w:val="en-US" w:eastAsia="zh-CN" w:bidi="ar"/>
        </w:rPr>
        <w:t>××</w:t>
      </w:r>
      <w:r>
        <w:rPr>
          <w:rFonts w:hint="eastAsia" w:ascii="楷体_GB2312" w:hAnsi="楷体_GB2312" w:eastAsia="楷体_GB2312" w:cs="楷体_GB2312"/>
          <w:snapToGrid w:val="0"/>
          <w:color w:val="000000"/>
          <w:kern w:val="0"/>
          <w:sz w:val="32"/>
          <w:szCs w:val="32"/>
          <w:highlight w:val="none"/>
          <w:lang w:val="en-US" w:eastAsia="zh-CN" w:bidi="ar"/>
        </w:rPr>
        <w:t>-</w:t>
      </w:r>
      <w:r>
        <w:rPr>
          <w:rFonts w:hint="eastAsia" w:ascii="楷体_GB2312" w:hAnsi="楷体_GB2312" w:eastAsia="楷体_GB2312" w:cs="楷体_GB2312"/>
          <w:bCs/>
          <w:snapToGrid w:val="0"/>
          <w:color w:val="000000"/>
          <w:kern w:val="0"/>
          <w:sz w:val="32"/>
          <w:szCs w:val="32"/>
          <w:highlight w:val="none"/>
          <w:lang w:val="en-US" w:eastAsia="zh-CN" w:bidi="ar"/>
        </w:rPr>
        <w:t>×-×</w:t>
      </w:r>
      <w:r>
        <w:rPr>
          <w:rFonts w:hint="eastAsia" w:ascii="楷体_GB2312" w:hAnsi="楷体_GB2312" w:eastAsia="楷体_GB2312" w:cs="楷体_GB2312"/>
          <w:snapToGrid w:val="0"/>
          <w:color w:val="000000"/>
          <w:kern w:val="0"/>
          <w:sz w:val="32"/>
          <w:szCs w:val="32"/>
          <w:highlight w:val="none"/>
          <w:lang w:val="en-US" w:eastAsia="zh-CN" w:bidi="ar"/>
        </w:rPr>
        <w:t>）</w:t>
      </w:r>
    </w:p>
    <w:p w14:paraId="6823C447">
      <w:pPr>
        <w:keepNext w:val="0"/>
        <w:keepLines w:val="0"/>
        <w:pageBreakBefore w:val="0"/>
        <w:widowControl w:val="0"/>
        <w:kinsoku/>
        <w:wordWrap/>
        <w:overflowPunct/>
        <w:autoSpaceDN/>
        <w:bidi w:val="0"/>
        <w:spacing w:line="560" w:lineRule="exact"/>
        <w:rPr>
          <w:rFonts w:hint="default" w:ascii="Times New Roman" w:hAnsi="Times New Roman" w:eastAsia="仿宋_GB2312" w:cs="Times New Roman"/>
          <w:snapToGrid w:val="0"/>
          <w:color w:val="000000"/>
          <w:kern w:val="0"/>
          <w:sz w:val="32"/>
          <w:szCs w:val="32"/>
          <w:highlight w:val="none"/>
        </w:rPr>
      </w:pPr>
    </w:p>
    <w:p w14:paraId="132B9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按照《中华人民共和国矿产资源法》、《矿产资源勘查区块登记管理办法》、《矿业权交易规则》等有关法律、法规和政策规定，新疆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eastAsia" w:ascii="仿宋_GB2312" w:hAnsi="仿宋_GB2312" w:eastAsia="仿宋_GB2312" w:cs="仿宋_GB2312"/>
          <w:snapToGrid w:val="0"/>
          <w:color w:val="000000"/>
          <w:kern w:val="0"/>
          <w:sz w:val="32"/>
          <w:szCs w:val="32"/>
          <w:highlight w:val="none"/>
        </w:rPr>
        <w:t>自然资源</w:t>
      </w:r>
      <w:r>
        <w:rPr>
          <w:rFonts w:hint="eastAsia" w:ascii="仿宋_GB2312" w:hAnsi="仿宋_GB2312" w:eastAsia="仿宋_GB2312" w:cs="仿宋_GB2312"/>
          <w:snapToGrid w:val="0"/>
          <w:color w:val="000000"/>
          <w:kern w:val="0"/>
          <w:sz w:val="32"/>
          <w:szCs w:val="32"/>
          <w:highlight w:val="none"/>
          <w:lang w:val="en-US" w:eastAsia="zh-CN"/>
        </w:rPr>
        <w:t>局</w:t>
      </w:r>
      <w:r>
        <w:rPr>
          <w:rFonts w:hint="eastAsia" w:ascii="仿宋_GB2312" w:hAnsi="仿宋_GB2312" w:eastAsia="仿宋_GB2312" w:cs="仿宋_GB2312"/>
          <w:snapToGrid w:val="0"/>
          <w:color w:val="000000"/>
          <w:kern w:val="0"/>
          <w:sz w:val="32"/>
          <w:szCs w:val="32"/>
          <w:highlight w:val="none"/>
        </w:rPr>
        <w:t>委托</w:t>
      </w:r>
      <w:r>
        <w:rPr>
          <w:rFonts w:hint="eastAsia" w:ascii="仿宋_GB2312" w:hAnsi="仿宋_GB2312" w:eastAsia="仿宋_GB2312" w:cs="仿宋_GB2312"/>
          <w:snapToGrid w:val="0"/>
          <w:color w:val="000000"/>
          <w:kern w:val="0"/>
          <w:sz w:val="32"/>
          <w:szCs w:val="32"/>
          <w:highlight w:val="none"/>
          <w:lang w:val="en-US" w:eastAsia="zh-CN"/>
        </w:rPr>
        <w:t>新疆生产建设兵团</w:t>
      </w:r>
      <w:r>
        <w:rPr>
          <w:rFonts w:hint="eastAsia" w:ascii="仿宋_GB2312" w:hAnsi="仿宋_GB2312" w:eastAsia="仿宋_GB2312" w:cs="仿宋_GB2312"/>
          <w:snapToGrid w:val="0"/>
          <w:color w:val="000000"/>
          <w:kern w:val="0"/>
          <w:sz w:val="32"/>
          <w:szCs w:val="32"/>
          <w:highlight w:val="none"/>
        </w:rPr>
        <w:t>公共资源交易中心实施，对</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lang w:val="en-US" w:eastAsia="zh-CN"/>
        </w:rPr>
        <w:t>探矿权</w:t>
      </w:r>
      <w:r>
        <w:rPr>
          <w:rFonts w:hint="eastAsia" w:ascii="仿宋_GB2312" w:hAnsi="仿宋_GB2312" w:eastAsia="仿宋_GB2312" w:cs="仿宋_GB2312"/>
          <w:snapToGrid w:val="0"/>
          <w:color w:val="000000"/>
          <w:kern w:val="0"/>
          <w:sz w:val="32"/>
          <w:szCs w:val="32"/>
          <w:highlight w:val="none"/>
        </w:rPr>
        <w:t>进行挂牌出让，经公开竞争出让，出让人、受让人和交易中心对出让流程均无异议，现确定成交结果如下：</w:t>
      </w:r>
    </w:p>
    <w:p w14:paraId="0C907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一、竞得人：</w:t>
      </w:r>
    </w:p>
    <w:p w14:paraId="26B4C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公司名称：</w:t>
      </w:r>
      <w:r>
        <w:rPr>
          <w:rFonts w:hint="eastAsia" w:ascii="仿宋_GB2312" w:hAnsi="仿宋_GB2312" w:eastAsia="仿宋_GB2312" w:cs="仿宋_GB2312"/>
          <w:snapToGrid w:val="0"/>
          <w:color w:val="000000"/>
          <w:kern w:val="0"/>
          <w:sz w:val="32"/>
          <w:szCs w:val="32"/>
          <w:highlight w:val="none"/>
          <w:u w:val="single"/>
        </w:rPr>
        <w:t xml:space="preserve">                            </w:t>
      </w:r>
    </w:p>
    <w:p w14:paraId="5D835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 xml:space="preserve">二、成交时间、地点： </w:t>
      </w:r>
    </w:p>
    <w:p w14:paraId="4E1726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成交时间：</w:t>
      </w:r>
      <w:r>
        <w:rPr>
          <w:rFonts w:hint="eastAsia" w:ascii="仿宋_GB2312" w:hAnsi="仿宋_GB2312" w:eastAsia="仿宋_GB2312" w:cs="仿宋_GB2312"/>
          <w:bCs/>
          <w:snapToGrid w:val="0"/>
          <w:color w:val="000000"/>
          <w:kern w:val="0"/>
          <w:sz w:val="32"/>
          <w:szCs w:val="32"/>
          <w:highlight w:val="none"/>
        </w:rPr>
        <w:t>×</w:t>
      </w:r>
      <w:r>
        <w:rPr>
          <w:rFonts w:hint="eastAsia" w:ascii="仿宋_GB2312" w:hAnsi="仿宋_GB2312" w:eastAsia="仿宋_GB2312" w:cs="仿宋_GB2312"/>
          <w:snapToGrid w:val="0"/>
          <w:color w:val="000000"/>
          <w:kern w:val="0"/>
          <w:sz w:val="32"/>
          <w:szCs w:val="32"/>
          <w:highlight w:val="none"/>
        </w:rPr>
        <w:t>年</w:t>
      </w:r>
      <w:r>
        <w:rPr>
          <w:rFonts w:hint="eastAsia" w:ascii="仿宋_GB2312" w:hAnsi="仿宋_GB2312" w:eastAsia="仿宋_GB2312" w:cs="仿宋_GB2312"/>
          <w:bCs/>
          <w:snapToGrid w:val="0"/>
          <w:color w:val="000000"/>
          <w:kern w:val="0"/>
          <w:sz w:val="32"/>
          <w:szCs w:val="32"/>
          <w:highlight w:val="none"/>
        </w:rPr>
        <w:t>×</w:t>
      </w:r>
      <w:r>
        <w:rPr>
          <w:rFonts w:hint="eastAsia" w:ascii="仿宋_GB2312" w:hAnsi="仿宋_GB2312" w:eastAsia="仿宋_GB2312" w:cs="仿宋_GB2312"/>
          <w:snapToGrid w:val="0"/>
          <w:color w:val="000000"/>
          <w:kern w:val="0"/>
          <w:sz w:val="32"/>
          <w:szCs w:val="32"/>
          <w:highlight w:val="none"/>
        </w:rPr>
        <w:t>月</w:t>
      </w:r>
      <w:r>
        <w:rPr>
          <w:rFonts w:hint="eastAsia" w:ascii="仿宋_GB2312" w:hAnsi="仿宋_GB2312" w:eastAsia="仿宋_GB2312" w:cs="仿宋_GB2312"/>
          <w:bCs/>
          <w:snapToGrid w:val="0"/>
          <w:color w:val="000000"/>
          <w:kern w:val="0"/>
          <w:sz w:val="32"/>
          <w:szCs w:val="32"/>
          <w:highlight w:val="none"/>
        </w:rPr>
        <w:t>×</w:t>
      </w:r>
      <w:r>
        <w:rPr>
          <w:rFonts w:hint="eastAsia" w:ascii="仿宋_GB2312" w:hAnsi="仿宋_GB2312" w:eastAsia="仿宋_GB2312" w:cs="仿宋_GB2312"/>
          <w:snapToGrid w:val="0"/>
          <w:color w:val="000000"/>
          <w:kern w:val="0"/>
          <w:sz w:val="32"/>
          <w:szCs w:val="32"/>
          <w:highlight w:val="none"/>
        </w:rPr>
        <w:t>日</w:t>
      </w:r>
    </w:p>
    <w:p w14:paraId="2E8307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rPr>
        <w:t>地点：</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w:t>
      </w:r>
      <w:r>
        <w:rPr>
          <w:rFonts w:hint="eastAsia" w:ascii="仿宋_GB2312" w:hAnsi="仿宋_GB2312" w:eastAsia="仿宋_GB2312" w:cs="仿宋_GB2312"/>
          <w:snapToGrid w:val="0"/>
          <w:color w:val="000000"/>
          <w:kern w:val="0"/>
          <w:sz w:val="32"/>
          <w:szCs w:val="32"/>
          <w:highlight w:val="none"/>
          <w:lang w:val="en-US" w:eastAsia="zh-CN"/>
        </w:rPr>
        <w:t>平台</w:t>
      </w:r>
    </w:p>
    <w:p w14:paraId="52C06C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三、出让成交探矿权的简要情况：</w:t>
      </w:r>
    </w:p>
    <w:p w14:paraId="69CE19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探矿权名称为</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rPr>
        <w:t>，面积</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rPr>
        <w:t>平方</w:t>
      </w:r>
      <w:r>
        <w:rPr>
          <w:rFonts w:hint="eastAsia" w:ascii="仿宋_GB2312" w:hAnsi="仿宋_GB2312" w:eastAsia="仿宋_GB2312" w:cs="仿宋_GB2312"/>
          <w:snapToGrid w:val="0"/>
          <w:color w:val="000000"/>
          <w:kern w:val="0"/>
          <w:sz w:val="32"/>
          <w:szCs w:val="32"/>
          <w:highlight w:val="none"/>
          <w:lang w:val="en-US" w:eastAsia="zh-CN"/>
        </w:rPr>
        <w:t>千</w:t>
      </w:r>
      <w:r>
        <w:rPr>
          <w:rFonts w:hint="eastAsia" w:ascii="仿宋_GB2312" w:hAnsi="仿宋_GB2312" w:eastAsia="仿宋_GB2312" w:cs="仿宋_GB2312"/>
          <w:snapToGrid w:val="0"/>
          <w:color w:val="000000"/>
          <w:kern w:val="0"/>
          <w:sz w:val="32"/>
          <w:szCs w:val="32"/>
          <w:highlight w:val="none"/>
        </w:rPr>
        <w:t>米，</w:t>
      </w:r>
      <w:r>
        <w:rPr>
          <w:rFonts w:hint="eastAsia" w:ascii="仿宋_GB2312" w:hAnsi="仿宋_GB2312" w:eastAsia="仿宋_GB2312" w:cs="仿宋_GB2312"/>
          <w:snapToGrid w:val="0"/>
          <w:color w:val="000000"/>
          <w:kern w:val="0"/>
          <w:sz w:val="32"/>
          <w:szCs w:val="32"/>
          <w:highlight w:val="none"/>
          <w:lang w:val="en-US" w:eastAsia="zh-CN"/>
        </w:rPr>
        <w:t>起始价</w:t>
      </w:r>
      <w:r>
        <w:rPr>
          <w:rFonts w:hint="eastAsia" w:ascii="仿宋_GB2312" w:hAnsi="仿宋_GB2312" w:eastAsia="仿宋_GB2312" w:cs="仿宋_GB2312"/>
          <w:snapToGrid w:val="0"/>
          <w:color w:val="000000"/>
          <w:kern w:val="0"/>
          <w:sz w:val="32"/>
          <w:szCs w:val="32"/>
          <w:highlight w:val="none"/>
        </w:rPr>
        <w:t>人民币</w:t>
      </w:r>
      <w:r>
        <w:rPr>
          <w:rFonts w:hint="eastAsia" w:ascii="仿宋_GB2312" w:hAnsi="仿宋_GB2312" w:eastAsia="仿宋_GB2312" w:cs="仿宋_GB2312"/>
          <w:snapToGrid w:val="0"/>
          <w:color w:val="000000"/>
          <w:kern w:val="0"/>
          <w:sz w:val="32"/>
          <w:szCs w:val="32"/>
          <w:highlight w:val="none"/>
          <w:u w:val="single"/>
        </w:rPr>
        <w:t xml:space="preserve"> </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rPr>
        <w:t>（大写）（</w:t>
      </w:r>
      <w:r>
        <w:rPr>
          <w:rFonts w:hint="eastAsia" w:ascii="仿宋" w:hAnsi="仿宋" w:eastAsia="仿宋" w:cs="仿宋"/>
          <w:snapToGrid w:val="0"/>
          <w:color w:val="000000"/>
          <w:kern w:val="0"/>
          <w:sz w:val="32"/>
          <w:szCs w:val="32"/>
          <w:highlight w:val="none"/>
        </w:rPr>
        <w:t>￥</w:t>
      </w:r>
      <w:r>
        <w:rPr>
          <w:rFonts w:hint="eastAsia" w:ascii="仿宋_GB2312" w:hAnsi="仿宋_GB2312" w:eastAsia="仿宋_GB2312" w:cs="仿宋_GB2312"/>
          <w:snapToGrid w:val="0"/>
          <w:color w:val="000000"/>
          <w:kern w:val="0"/>
          <w:sz w:val="32"/>
          <w:szCs w:val="32"/>
          <w:highlight w:val="none"/>
          <w:u w:val="single"/>
        </w:rPr>
        <w:t xml:space="preserve"> </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u w:val="single"/>
        </w:rPr>
        <w:t xml:space="preserve"> </w:t>
      </w:r>
      <w:r>
        <w:rPr>
          <w:rFonts w:hint="eastAsia" w:ascii="仿宋_GB2312" w:hAnsi="仿宋_GB2312" w:eastAsia="仿宋_GB2312" w:cs="仿宋_GB2312"/>
          <w:snapToGrid w:val="0"/>
          <w:color w:val="000000"/>
          <w:kern w:val="0"/>
          <w:sz w:val="32"/>
          <w:szCs w:val="32"/>
          <w:highlight w:val="none"/>
        </w:rPr>
        <w:t>万元）。</w:t>
      </w:r>
    </w:p>
    <w:p w14:paraId="7869CC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四、出让成交价：</w:t>
      </w:r>
    </w:p>
    <w:p w14:paraId="67C30E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挂牌出让成交价人民币</w:t>
      </w:r>
      <w:r>
        <w:rPr>
          <w:rFonts w:hint="eastAsia" w:ascii="仿宋_GB2312" w:hAnsi="仿宋_GB2312" w:eastAsia="仿宋_GB2312" w:cs="仿宋_GB2312"/>
          <w:snapToGrid w:val="0"/>
          <w:color w:val="000000"/>
          <w:kern w:val="0"/>
          <w:sz w:val="32"/>
          <w:szCs w:val="32"/>
          <w:highlight w:val="none"/>
          <w:u w:val="single"/>
        </w:rPr>
        <w:t xml:space="preserve">                        </w:t>
      </w:r>
      <w:r>
        <w:rPr>
          <w:rFonts w:hint="eastAsia" w:ascii="仿宋_GB2312" w:hAnsi="仿宋_GB2312" w:eastAsia="仿宋_GB2312" w:cs="仿宋_GB2312"/>
          <w:snapToGrid w:val="0"/>
          <w:color w:val="000000"/>
          <w:kern w:val="0"/>
          <w:sz w:val="32"/>
          <w:szCs w:val="32"/>
          <w:highlight w:val="none"/>
        </w:rPr>
        <w:t>（大写）元整（</w:t>
      </w:r>
      <w:r>
        <w:rPr>
          <w:rFonts w:hint="eastAsia" w:ascii="仿宋" w:hAnsi="仿宋" w:eastAsia="仿宋" w:cs="仿宋"/>
          <w:snapToGrid w:val="0"/>
          <w:color w:val="000000"/>
          <w:kern w:val="0"/>
          <w:sz w:val="32"/>
          <w:szCs w:val="32"/>
          <w:highlight w:val="none"/>
        </w:rPr>
        <w:t>￥</w:t>
      </w:r>
      <w:r>
        <w:rPr>
          <w:rFonts w:hint="eastAsia" w:ascii="仿宋_GB2312" w:hAnsi="仿宋_GB2312" w:eastAsia="仿宋_GB2312" w:cs="仿宋_GB2312"/>
          <w:snapToGrid w:val="0"/>
          <w:color w:val="000000"/>
          <w:kern w:val="0"/>
          <w:sz w:val="32"/>
          <w:szCs w:val="32"/>
          <w:highlight w:val="none"/>
          <w:u w:val="single"/>
        </w:rPr>
        <w:t xml:space="preserve">      </w:t>
      </w:r>
      <w:r>
        <w:rPr>
          <w:rFonts w:hint="eastAsia" w:ascii="仿宋_GB2312" w:hAnsi="仿宋_GB2312" w:eastAsia="仿宋_GB2312" w:cs="仿宋_GB2312"/>
          <w:snapToGrid w:val="0"/>
          <w:color w:val="000000"/>
          <w:kern w:val="0"/>
          <w:sz w:val="32"/>
          <w:szCs w:val="32"/>
          <w:highlight w:val="none"/>
        </w:rPr>
        <w:t>万元）。</w:t>
      </w:r>
    </w:p>
    <w:p w14:paraId="1E271E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五、合同签订及出让收益缴纳：</w:t>
      </w:r>
    </w:p>
    <w:p w14:paraId="30EA5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出让成交后，</w:t>
      </w:r>
      <w:r>
        <w:rPr>
          <w:rFonts w:hint="eastAsia" w:ascii="仿宋_GB2312" w:hAnsi="仿宋_GB2312" w:eastAsia="仿宋_GB2312" w:cs="仿宋_GB2312"/>
          <w:snapToGrid w:val="0"/>
          <w:color w:val="000000"/>
          <w:kern w:val="0"/>
          <w:sz w:val="32"/>
          <w:szCs w:val="32"/>
          <w:highlight w:val="none"/>
          <w:lang w:eastAsia="zh-CN"/>
        </w:rPr>
        <w:t>经公示无异议的，</w:t>
      </w:r>
      <w:r>
        <w:rPr>
          <w:rFonts w:hint="eastAsia" w:ascii="仿宋_GB2312" w:hAnsi="仿宋_GB2312" w:eastAsia="仿宋_GB2312" w:cs="仿宋_GB2312"/>
          <w:snapToGrid w:val="0"/>
          <w:color w:val="000000"/>
          <w:kern w:val="0"/>
          <w:sz w:val="32"/>
          <w:szCs w:val="32"/>
          <w:highlight w:val="none"/>
        </w:rPr>
        <w:t>竞得人须于</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u w:val="single"/>
        </w:rPr>
        <w:t>年</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u w:val="single"/>
        </w:rPr>
        <w:t>月  日</w:t>
      </w:r>
      <w:r>
        <w:rPr>
          <w:rFonts w:hint="eastAsia" w:ascii="仿宋_GB2312" w:hAnsi="仿宋_GB2312" w:eastAsia="仿宋_GB2312" w:cs="仿宋_GB2312"/>
          <w:snapToGrid w:val="0"/>
          <w:color w:val="000000"/>
          <w:kern w:val="0"/>
          <w:sz w:val="32"/>
          <w:szCs w:val="32"/>
          <w:highlight w:val="none"/>
        </w:rPr>
        <w:t>前，与出让人签订探矿权出让合同，并根据合同约定缴纳探矿权出让收益。</w:t>
      </w:r>
    </w:p>
    <w:p w14:paraId="7DE55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六、勘查许可证办理</w:t>
      </w:r>
    </w:p>
    <w:p w14:paraId="4440F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竞得人根据合同约定在缴纳探矿权出让收益后，持缴款凭据</w:t>
      </w:r>
      <w:r>
        <w:rPr>
          <w:rFonts w:hint="eastAsia" w:ascii="仿宋_GB2312" w:hAnsi="仿宋_GB2312" w:eastAsia="仿宋_GB2312" w:cs="仿宋_GB2312"/>
          <w:snapToGrid w:val="0"/>
          <w:color w:val="000000"/>
          <w:kern w:val="0"/>
          <w:sz w:val="32"/>
          <w:szCs w:val="32"/>
          <w:highlight w:val="none"/>
          <w:lang w:eastAsia="zh-CN"/>
        </w:rPr>
        <w:t>前往新疆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eastAsia" w:ascii="仿宋_GB2312" w:hAnsi="仿宋_GB2312" w:eastAsia="仿宋_GB2312" w:cs="仿宋_GB2312"/>
          <w:snapToGrid w:val="0"/>
          <w:color w:val="000000"/>
          <w:kern w:val="0"/>
          <w:sz w:val="32"/>
          <w:szCs w:val="32"/>
          <w:highlight w:val="none"/>
        </w:rPr>
        <w:t>自然资源</w:t>
      </w:r>
      <w:r>
        <w:rPr>
          <w:rFonts w:hint="eastAsia" w:ascii="仿宋_GB2312" w:hAnsi="仿宋_GB2312" w:eastAsia="仿宋_GB2312" w:cs="仿宋_GB2312"/>
          <w:snapToGrid w:val="0"/>
          <w:color w:val="000000"/>
          <w:kern w:val="0"/>
          <w:sz w:val="32"/>
          <w:szCs w:val="32"/>
          <w:highlight w:val="none"/>
          <w:lang w:val="en-US" w:eastAsia="zh-CN"/>
        </w:rPr>
        <w:t>局</w:t>
      </w:r>
      <w:r>
        <w:rPr>
          <w:rFonts w:hint="eastAsia" w:ascii="仿宋_GB2312" w:hAnsi="仿宋_GB2312" w:eastAsia="仿宋_GB2312" w:cs="仿宋_GB2312"/>
          <w:snapToGrid w:val="0"/>
          <w:color w:val="000000"/>
          <w:kern w:val="0"/>
          <w:sz w:val="32"/>
          <w:szCs w:val="32"/>
          <w:highlight w:val="none"/>
        </w:rPr>
        <w:t>按有关规定和要求办理探矿权登记手续，领取勘查许可证。</w:t>
      </w:r>
    </w:p>
    <w:p w14:paraId="35D8F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七、其他相关事宜，在《探矿权出让合同书》中另作约定。</w:t>
      </w:r>
    </w:p>
    <w:p w14:paraId="1F31E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八、竞得人未履行《出让公告》《</w:t>
      </w:r>
      <w:r>
        <w:rPr>
          <w:rFonts w:hint="eastAsia" w:ascii="仿宋_GB2312" w:hAnsi="仿宋_GB2312" w:eastAsia="仿宋_GB2312" w:cs="仿宋_GB2312"/>
          <w:snapToGrid w:val="0"/>
          <w:color w:val="000000"/>
          <w:kern w:val="0"/>
          <w:sz w:val="32"/>
          <w:szCs w:val="32"/>
          <w:highlight w:val="none"/>
          <w:lang w:eastAsia="zh-CN"/>
        </w:rPr>
        <w:t>挂牌</w:t>
      </w:r>
      <w:r>
        <w:rPr>
          <w:rFonts w:hint="eastAsia" w:ascii="仿宋_GB2312" w:hAnsi="仿宋_GB2312" w:eastAsia="仿宋_GB2312" w:cs="仿宋_GB2312"/>
          <w:snapToGrid w:val="0"/>
          <w:color w:val="000000"/>
          <w:kern w:val="0"/>
          <w:sz w:val="32"/>
          <w:szCs w:val="32"/>
          <w:highlight w:val="none"/>
        </w:rPr>
        <w:t>文件》和本确认书约定义务的，即为违约，根据相关规定追究竞得人的相关法律责任。</w:t>
      </w:r>
    </w:p>
    <w:p w14:paraId="7D36DE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九、交易服务费缴纳：</w:t>
      </w:r>
    </w:p>
    <w:p w14:paraId="18525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单位名称：</w:t>
      </w:r>
    </w:p>
    <w:p w14:paraId="352B86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开户行名称：</w:t>
      </w:r>
    </w:p>
    <w:p w14:paraId="1610C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基本户账号：</w:t>
      </w:r>
    </w:p>
    <w:p w14:paraId="28F927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联系电话：0991-   （财务） 0991-   （发票）</w:t>
      </w:r>
    </w:p>
    <w:p w14:paraId="790A60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napToGrid w:val="0"/>
          <w:color w:val="000000"/>
          <w:kern w:val="0"/>
          <w:sz w:val="32"/>
          <w:szCs w:val="32"/>
          <w:highlight w:val="none"/>
        </w:rPr>
      </w:pPr>
    </w:p>
    <w:p w14:paraId="07710C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交易平台：</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w:t>
      </w:r>
    </w:p>
    <w:p w14:paraId="7519CA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napToGrid w:val="0"/>
          <w:color w:val="000000"/>
          <w:kern w:val="0"/>
          <w:sz w:val="32"/>
          <w:szCs w:val="32"/>
          <w:highlight w:val="none"/>
          <w:u w:val="none"/>
        </w:rPr>
      </w:pPr>
      <w:r>
        <w:rPr>
          <w:rFonts w:hint="eastAsia" w:ascii="仿宋_GB2312" w:hAnsi="仿宋_GB2312" w:eastAsia="仿宋_GB2312" w:cs="仿宋_GB2312"/>
          <w:snapToGrid w:val="0"/>
          <w:color w:val="000000"/>
          <w:kern w:val="0"/>
          <w:sz w:val="32"/>
          <w:szCs w:val="32"/>
          <w:highlight w:val="none"/>
        </w:rPr>
        <w:t>竞得人（签章）：</w:t>
      </w:r>
      <w:r>
        <w:rPr>
          <w:rFonts w:hint="eastAsia" w:ascii="仿宋_GB2312" w:hAnsi="仿宋_GB2312" w:eastAsia="仿宋_GB2312" w:cs="仿宋_GB2312"/>
          <w:snapToGrid w:val="0"/>
          <w:color w:val="000000"/>
          <w:kern w:val="0"/>
          <w:sz w:val="32"/>
          <w:szCs w:val="32"/>
          <w:highlight w:val="none"/>
          <w:lang w:val="en-US" w:eastAsia="zh-CN"/>
        </w:rPr>
        <w:t xml:space="preserve">                         </w:t>
      </w:r>
      <w:r>
        <w:rPr>
          <w:rFonts w:hint="eastAsia" w:ascii="仿宋_GB2312" w:hAnsi="仿宋_GB2312" w:eastAsia="仿宋_GB2312" w:cs="仿宋_GB2312"/>
          <w:snapToGrid w:val="0"/>
          <w:color w:val="000000"/>
          <w:kern w:val="0"/>
          <w:sz w:val="32"/>
          <w:szCs w:val="32"/>
          <w:highlight w:val="none"/>
        </w:rPr>
        <w:t xml:space="preserve"> </w:t>
      </w:r>
      <w:r>
        <w:rPr>
          <w:rFonts w:hint="eastAsia" w:ascii="仿宋_GB2312" w:hAnsi="仿宋_GB2312" w:eastAsia="仿宋_GB2312" w:cs="仿宋_GB2312"/>
          <w:snapToGrid w:val="0"/>
          <w:color w:val="000000"/>
          <w:kern w:val="0"/>
          <w:sz w:val="32"/>
          <w:szCs w:val="32"/>
          <w:highlight w:val="none"/>
          <w:u w:val="none"/>
        </w:rPr>
        <w:t>年</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r>
        <w:rPr>
          <w:rFonts w:hint="eastAsia" w:ascii="仿宋_GB2312" w:hAnsi="仿宋_GB2312" w:eastAsia="仿宋_GB2312" w:cs="仿宋_GB2312"/>
          <w:snapToGrid w:val="0"/>
          <w:color w:val="000000"/>
          <w:kern w:val="0"/>
          <w:sz w:val="32"/>
          <w:szCs w:val="32"/>
          <w:highlight w:val="none"/>
          <w:u w:val="none"/>
        </w:rPr>
        <w:t>月</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r>
        <w:rPr>
          <w:rFonts w:hint="eastAsia" w:ascii="仿宋_GB2312" w:hAnsi="仿宋_GB2312" w:eastAsia="仿宋_GB2312" w:cs="仿宋_GB2312"/>
          <w:snapToGrid w:val="0"/>
          <w:color w:val="000000"/>
          <w:kern w:val="0"/>
          <w:sz w:val="32"/>
          <w:szCs w:val="32"/>
          <w:highlight w:val="none"/>
          <w:u w:val="none"/>
        </w:rPr>
        <w:t>日</w:t>
      </w:r>
    </w:p>
    <w:p w14:paraId="3BF21B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color w:val="000000"/>
          <w:kern w:val="0"/>
          <w:sz w:val="32"/>
          <w:szCs w:val="32"/>
          <w:highlight w:val="none"/>
        </w:rPr>
      </w:pPr>
    </w:p>
    <w:p w14:paraId="26109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u w:val="none"/>
          <w:lang w:val="en-US" w:eastAsia="zh-CN"/>
        </w:rPr>
      </w:pPr>
      <w:r>
        <w:rPr>
          <w:rFonts w:hint="eastAsia" w:ascii="仿宋_GB2312" w:hAnsi="仿宋_GB2312" w:eastAsia="仿宋_GB2312" w:cs="仿宋_GB2312"/>
          <w:snapToGrid w:val="0"/>
          <w:color w:val="000000"/>
          <w:kern w:val="0"/>
          <w:sz w:val="32"/>
          <w:szCs w:val="32"/>
          <w:highlight w:val="none"/>
        </w:rPr>
        <w:t xml:space="preserve">法定代表人（签章）： </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r>
        <w:rPr>
          <w:rFonts w:hint="eastAsia" w:ascii="仿宋_GB2312" w:hAnsi="仿宋_GB2312" w:eastAsia="仿宋_GB2312" w:cs="仿宋_GB2312"/>
          <w:snapToGrid w:val="0"/>
          <w:color w:val="000000"/>
          <w:kern w:val="0"/>
          <w:sz w:val="32"/>
          <w:szCs w:val="32"/>
          <w:highlight w:val="none"/>
          <w:u w:val="none"/>
        </w:rPr>
        <w:t>年</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r>
        <w:rPr>
          <w:rFonts w:hint="eastAsia" w:ascii="仿宋_GB2312" w:hAnsi="仿宋_GB2312" w:eastAsia="仿宋_GB2312" w:cs="仿宋_GB2312"/>
          <w:snapToGrid w:val="0"/>
          <w:color w:val="000000"/>
          <w:kern w:val="0"/>
          <w:sz w:val="32"/>
          <w:szCs w:val="32"/>
          <w:highlight w:val="none"/>
          <w:u w:val="none"/>
        </w:rPr>
        <w:t>月</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r>
        <w:rPr>
          <w:rFonts w:hint="eastAsia" w:ascii="仿宋_GB2312" w:hAnsi="仿宋_GB2312" w:eastAsia="仿宋_GB2312" w:cs="仿宋_GB2312"/>
          <w:snapToGrid w:val="0"/>
          <w:color w:val="000000"/>
          <w:kern w:val="0"/>
          <w:sz w:val="32"/>
          <w:szCs w:val="32"/>
          <w:highlight w:val="none"/>
          <w:u w:val="none"/>
        </w:rPr>
        <w:t>日</w:t>
      </w:r>
    </w:p>
    <w:sectPr>
      <w:pgSz w:w="11906" w:h="16838"/>
      <w:pgMar w:top="2098" w:right="1474" w:bottom="1984"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1C0BFD07">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F439">
    <w:pPr>
      <w:widowControl w:val="0"/>
      <w:tabs>
        <w:tab w:val="center" w:pos="4153"/>
        <w:tab w:val="right" w:pos="8306"/>
      </w:tabs>
      <w:snapToGrid w:val="0"/>
      <w:jc w:val="right"/>
      <w:rPr>
        <w:rFonts w:ascii="Calibri" w:hAnsi="Calibri" w:eastAsia="宋体" w:cs="仿宋_GB2312"/>
        <w:snapToGrid w:val="0"/>
        <w:kern w:val="0"/>
        <w:sz w:val="18"/>
        <w:szCs w:val="18"/>
        <w:lang w:val="en-US" w:eastAsia="zh-CN" w:bidi="ar-SA"/>
      </w:rPr>
    </w:pPr>
    <w:r>
      <w:rPr>
        <w:rFonts w:hint="eastAsia" w:ascii="宋体" w:hAnsi="宋体" w:eastAsia="宋体" w:cs="宋体"/>
        <w:snapToGrid w:val="0"/>
        <w:kern w:val="0"/>
        <w:sz w:val="28"/>
        <w:szCs w:val="28"/>
        <w:lang w:val="en-US" w:eastAsia="zh-CN" w:bidi="ar-SA"/>
      </w:rPr>
      <w:t xml:space="preserve">- </w:t>
    </w:r>
    <w:r>
      <w:rPr>
        <w:rFonts w:hint="eastAsia" w:ascii="宋体" w:hAnsi="宋体" w:eastAsia="宋体" w:cs="宋体"/>
        <w:snapToGrid w:val="0"/>
        <w:kern w:val="0"/>
        <w:sz w:val="28"/>
        <w:szCs w:val="28"/>
        <w:lang w:val="en-US" w:eastAsia="zh-CN" w:bidi="ar-SA"/>
      </w:rPr>
      <w:fldChar w:fldCharType="begin"/>
    </w:r>
    <w:r>
      <w:rPr>
        <w:rFonts w:hint="eastAsia" w:ascii="宋体" w:hAnsi="宋体" w:eastAsia="宋体" w:cs="宋体"/>
        <w:snapToGrid w:val="0"/>
        <w:kern w:val="0"/>
        <w:sz w:val="28"/>
        <w:szCs w:val="28"/>
        <w:lang w:val="en-US" w:eastAsia="zh-CN" w:bidi="ar-SA"/>
      </w:rPr>
      <w:instrText xml:space="preserve"> PAGE </w:instrText>
    </w:r>
    <w:r>
      <w:rPr>
        <w:rFonts w:hint="eastAsia" w:ascii="宋体" w:hAnsi="宋体" w:eastAsia="宋体" w:cs="宋体"/>
        <w:snapToGrid w:val="0"/>
        <w:kern w:val="0"/>
        <w:sz w:val="28"/>
        <w:szCs w:val="28"/>
        <w:lang w:val="en-US" w:eastAsia="zh-CN" w:bidi="ar-SA"/>
      </w:rPr>
      <w:fldChar w:fldCharType="separate"/>
    </w:r>
    <w:r>
      <w:rPr>
        <w:rFonts w:hint="eastAsia" w:ascii="宋体" w:hAnsi="宋体" w:eastAsia="宋体" w:cs="宋体"/>
        <w:snapToGrid w:val="0"/>
        <w:kern w:val="0"/>
        <w:sz w:val="28"/>
        <w:szCs w:val="28"/>
        <w:lang w:val="en-US" w:eastAsia="zh-CN" w:bidi="ar-SA"/>
      </w:rPr>
      <w:t>9</w:t>
    </w:r>
    <w:r>
      <w:rPr>
        <w:rFonts w:hint="eastAsia" w:ascii="宋体" w:hAnsi="宋体" w:eastAsia="宋体" w:cs="宋体"/>
        <w:snapToGrid w:val="0"/>
        <w:kern w:val="0"/>
        <w:sz w:val="28"/>
        <w:szCs w:val="28"/>
        <w:lang w:val="en-US" w:eastAsia="zh-CN" w:bidi="ar-SA"/>
      </w:rPr>
      <w:fldChar w:fldCharType="end"/>
    </w:r>
    <w:r>
      <w:rPr>
        <w:rFonts w:hint="eastAsia" w:ascii="宋体" w:hAnsi="宋体" w:eastAsia="宋体" w:cs="宋体"/>
        <w:snapToGrid w:val="0"/>
        <w:kern w:val="0"/>
        <w:sz w:val="28"/>
        <w:szCs w:val="2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747EE">
    <w:pPr>
      <w:widowControl w:val="0"/>
      <w:tabs>
        <w:tab w:val="center" w:pos="4153"/>
        <w:tab w:val="right" w:pos="8306"/>
      </w:tabs>
      <w:snapToGrid w:val="0"/>
      <w:jc w:val="left"/>
      <w:rPr>
        <w:rFonts w:ascii="Calibri" w:hAnsi="Calibri" w:eastAsia="宋体" w:cs="仿宋_GB2312"/>
        <w:snapToGrid w:val="0"/>
        <w:kern w:val="0"/>
        <w:sz w:val="18"/>
        <w:szCs w:val="18"/>
        <w:lang w:val="en-US" w:eastAsia="zh-CN" w:bidi="ar-SA"/>
      </w:rPr>
    </w:pPr>
    <w:r>
      <w:rPr>
        <w:rFonts w:hint="eastAsia" w:ascii="宋体" w:hAnsi="宋体" w:eastAsia="宋体" w:cs="宋体"/>
        <w:snapToGrid w:val="0"/>
        <w:kern w:val="0"/>
        <w:sz w:val="28"/>
        <w:szCs w:val="28"/>
        <w:lang w:val="en-US" w:eastAsia="zh-CN" w:bidi="ar-SA"/>
      </w:rPr>
      <w:t xml:space="preserve">- </w:t>
    </w:r>
    <w:r>
      <w:rPr>
        <w:rFonts w:hint="eastAsia" w:ascii="宋体" w:hAnsi="宋体" w:eastAsia="宋体" w:cs="宋体"/>
        <w:snapToGrid w:val="0"/>
        <w:kern w:val="0"/>
        <w:sz w:val="28"/>
        <w:szCs w:val="28"/>
        <w:lang w:val="en-US" w:eastAsia="zh-CN" w:bidi="ar-SA"/>
      </w:rPr>
      <w:fldChar w:fldCharType="begin"/>
    </w:r>
    <w:r>
      <w:rPr>
        <w:rFonts w:hint="eastAsia" w:ascii="宋体" w:hAnsi="宋体" w:eastAsia="宋体" w:cs="宋体"/>
        <w:snapToGrid w:val="0"/>
        <w:kern w:val="0"/>
        <w:sz w:val="28"/>
        <w:szCs w:val="28"/>
        <w:lang w:val="en-US" w:eastAsia="zh-CN" w:bidi="ar-SA"/>
      </w:rPr>
      <w:instrText xml:space="preserve"> PAGE </w:instrText>
    </w:r>
    <w:r>
      <w:rPr>
        <w:rFonts w:hint="eastAsia" w:ascii="宋体" w:hAnsi="宋体" w:eastAsia="宋体" w:cs="宋体"/>
        <w:snapToGrid w:val="0"/>
        <w:kern w:val="0"/>
        <w:sz w:val="28"/>
        <w:szCs w:val="28"/>
        <w:lang w:val="en-US" w:eastAsia="zh-CN" w:bidi="ar-SA"/>
      </w:rPr>
      <w:fldChar w:fldCharType="separate"/>
    </w:r>
    <w:r>
      <w:rPr>
        <w:rFonts w:hint="eastAsia" w:ascii="宋体" w:hAnsi="宋体" w:eastAsia="宋体" w:cs="宋体"/>
        <w:snapToGrid w:val="0"/>
        <w:kern w:val="0"/>
        <w:sz w:val="28"/>
        <w:szCs w:val="28"/>
        <w:lang w:val="en-US" w:eastAsia="zh-CN" w:bidi="ar-SA"/>
      </w:rPr>
      <w:t>9</w:t>
    </w:r>
    <w:r>
      <w:rPr>
        <w:rFonts w:hint="eastAsia" w:ascii="宋体" w:hAnsi="宋体" w:eastAsia="宋体" w:cs="宋体"/>
        <w:snapToGrid w:val="0"/>
        <w:kern w:val="0"/>
        <w:sz w:val="28"/>
        <w:szCs w:val="28"/>
        <w:lang w:val="en-US" w:eastAsia="zh-CN" w:bidi="ar-SA"/>
      </w:rPr>
      <w:fldChar w:fldCharType="end"/>
    </w:r>
    <w:r>
      <w:rPr>
        <w:rFonts w:hint="eastAsia" w:ascii="宋体" w:hAnsi="宋体" w:eastAsia="宋体" w:cs="宋体"/>
        <w:snapToGrid w:val="0"/>
        <w:kern w:val="0"/>
        <w:sz w:val="28"/>
        <w:szCs w:val="2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9B34">
    <w:pPr>
      <w:widowControl w:val="0"/>
      <w:tabs>
        <w:tab w:val="center" w:pos="4153"/>
        <w:tab w:val="right" w:pos="8306"/>
      </w:tabs>
      <w:snapToGrid w:val="0"/>
      <w:ind w:firstLine="360"/>
      <w:jc w:val="left"/>
      <w:rPr>
        <w:rFonts w:ascii="Calibri" w:hAnsi="Calibri" w:eastAsia="宋体" w:cs="仿宋_GB2312"/>
        <w:snapToGrid w:val="0"/>
        <w:kern w:val="0"/>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9996">
    <w:pPr>
      <w:widowControl w:val="0"/>
      <w:pBdr>
        <w:bottom w:val="none" w:color="auto" w:sz="0" w:space="1"/>
      </w:pBdr>
      <w:tabs>
        <w:tab w:val="center" w:pos="4153"/>
        <w:tab w:val="right" w:pos="8306"/>
      </w:tabs>
      <w:snapToGrid w:val="0"/>
      <w:ind w:firstLine="360"/>
      <w:jc w:val="center"/>
      <w:rPr>
        <w:rFonts w:ascii="Calibri" w:hAnsi="Calibri" w:eastAsia="宋体" w:cs="仿宋_GB2312"/>
        <w:snapToGrid w:val="0"/>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0D89">
    <w:pPr>
      <w:rPr>
        <w:rFonts w:cs="仿宋_GB2312"/>
        <w:snapToGrid w:val="0"/>
        <w:kern w:val="0"/>
        <w:sz w:val="32"/>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362D">
    <w:pPr>
      <w:widowControl w:val="0"/>
      <w:pBdr>
        <w:bottom w:val="single" w:color="auto" w:sz="6" w:space="1"/>
      </w:pBdr>
      <w:tabs>
        <w:tab w:val="center" w:pos="4153"/>
        <w:tab w:val="right" w:pos="8306"/>
      </w:tabs>
      <w:snapToGrid w:val="0"/>
      <w:ind w:firstLine="360"/>
      <w:jc w:val="center"/>
      <w:rPr>
        <w:rFonts w:ascii="Calibri" w:hAnsi="Calibri" w:eastAsia="宋体" w:cs="仿宋_GB2312"/>
        <w:snapToGrid w:val="0"/>
        <w:kern w:val="0"/>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ED"/>
    <w:rsid w:val="0004281D"/>
    <w:rsid w:val="00053CA6"/>
    <w:rsid w:val="000B5CD2"/>
    <w:rsid w:val="000E3A9D"/>
    <w:rsid w:val="000E5D71"/>
    <w:rsid w:val="00152929"/>
    <w:rsid w:val="0022686B"/>
    <w:rsid w:val="00241023"/>
    <w:rsid w:val="002C356F"/>
    <w:rsid w:val="002F0BC8"/>
    <w:rsid w:val="003058FE"/>
    <w:rsid w:val="00341C01"/>
    <w:rsid w:val="00346A29"/>
    <w:rsid w:val="0035726D"/>
    <w:rsid w:val="00377BE7"/>
    <w:rsid w:val="00380347"/>
    <w:rsid w:val="003D059F"/>
    <w:rsid w:val="003F5BED"/>
    <w:rsid w:val="00495CFB"/>
    <w:rsid w:val="004E43BF"/>
    <w:rsid w:val="00537C28"/>
    <w:rsid w:val="00560DE3"/>
    <w:rsid w:val="005D49D0"/>
    <w:rsid w:val="006110FB"/>
    <w:rsid w:val="00616DB3"/>
    <w:rsid w:val="0065734F"/>
    <w:rsid w:val="006610EA"/>
    <w:rsid w:val="00746658"/>
    <w:rsid w:val="00764DCD"/>
    <w:rsid w:val="007B30D7"/>
    <w:rsid w:val="008817E1"/>
    <w:rsid w:val="008C7B05"/>
    <w:rsid w:val="00935FCC"/>
    <w:rsid w:val="00982DD7"/>
    <w:rsid w:val="009C0A21"/>
    <w:rsid w:val="00A94E6C"/>
    <w:rsid w:val="00AA1280"/>
    <w:rsid w:val="00AC0EB3"/>
    <w:rsid w:val="00B47ED5"/>
    <w:rsid w:val="00B72D2D"/>
    <w:rsid w:val="00B958EA"/>
    <w:rsid w:val="00C2779B"/>
    <w:rsid w:val="00C93AE1"/>
    <w:rsid w:val="00CB41E6"/>
    <w:rsid w:val="00CE43A0"/>
    <w:rsid w:val="00CF5851"/>
    <w:rsid w:val="00D678CC"/>
    <w:rsid w:val="00DE4A29"/>
    <w:rsid w:val="00E404F0"/>
    <w:rsid w:val="00E60A24"/>
    <w:rsid w:val="00E6543C"/>
    <w:rsid w:val="00EE3FA5"/>
    <w:rsid w:val="00EF1E47"/>
    <w:rsid w:val="00EF77D3"/>
    <w:rsid w:val="00F24E03"/>
    <w:rsid w:val="00FA4E78"/>
    <w:rsid w:val="00FA7A40"/>
    <w:rsid w:val="00FC131C"/>
    <w:rsid w:val="00FE48DB"/>
    <w:rsid w:val="011A06B7"/>
    <w:rsid w:val="01255120"/>
    <w:rsid w:val="01A3073B"/>
    <w:rsid w:val="01C038BF"/>
    <w:rsid w:val="02321273"/>
    <w:rsid w:val="023615AF"/>
    <w:rsid w:val="02671768"/>
    <w:rsid w:val="02FC45A7"/>
    <w:rsid w:val="03212E56"/>
    <w:rsid w:val="03EA6727"/>
    <w:rsid w:val="040A4AA1"/>
    <w:rsid w:val="043A5387"/>
    <w:rsid w:val="04561A95"/>
    <w:rsid w:val="045A5D9A"/>
    <w:rsid w:val="05017C52"/>
    <w:rsid w:val="05751D1C"/>
    <w:rsid w:val="05940AC6"/>
    <w:rsid w:val="061E062F"/>
    <w:rsid w:val="062349FD"/>
    <w:rsid w:val="06905732"/>
    <w:rsid w:val="06D05B2E"/>
    <w:rsid w:val="07430CF0"/>
    <w:rsid w:val="09656B0E"/>
    <w:rsid w:val="0A020E40"/>
    <w:rsid w:val="0A8F3F52"/>
    <w:rsid w:val="0AAF1EFF"/>
    <w:rsid w:val="0AE51355"/>
    <w:rsid w:val="0B195DAE"/>
    <w:rsid w:val="0B3A5C6C"/>
    <w:rsid w:val="0B492353"/>
    <w:rsid w:val="0B5C3E34"/>
    <w:rsid w:val="0CB1507C"/>
    <w:rsid w:val="0CB90E13"/>
    <w:rsid w:val="0CE265BB"/>
    <w:rsid w:val="0CFF53BF"/>
    <w:rsid w:val="0D166265"/>
    <w:rsid w:val="0D1F4FFE"/>
    <w:rsid w:val="0E6F20D1"/>
    <w:rsid w:val="0F657030"/>
    <w:rsid w:val="0FD541B5"/>
    <w:rsid w:val="0FDC19E8"/>
    <w:rsid w:val="10394744"/>
    <w:rsid w:val="10953945"/>
    <w:rsid w:val="10AA3894"/>
    <w:rsid w:val="1112729A"/>
    <w:rsid w:val="1122167C"/>
    <w:rsid w:val="11A27B63"/>
    <w:rsid w:val="11DA2527"/>
    <w:rsid w:val="12227E1C"/>
    <w:rsid w:val="126B2E24"/>
    <w:rsid w:val="131C5060"/>
    <w:rsid w:val="133D6E16"/>
    <w:rsid w:val="13677D3C"/>
    <w:rsid w:val="13953D9D"/>
    <w:rsid w:val="14775713"/>
    <w:rsid w:val="14E135FC"/>
    <w:rsid w:val="153260C5"/>
    <w:rsid w:val="153951E6"/>
    <w:rsid w:val="15A9236C"/>
    <w:rsid w:val="161F618A"/>
    <w:rsid w:val="163D6497"/>
    <w:rsid w:val="166149F5"/>
    <w:rsid w:val="16876904"/>
    <w:rsid w:val="16B234A2"/>
    <w:rsid w:val="16B33193"/>
    <w:rsid w:val="16DE7DF3"/>
    <w:rsid w:val="172D2B29"/>
    <w:rsid w:val="173D7210"/>
    <w:rsid w:val="17AE3C6A"/>
    <w:rsid w:val="18DF34D5"/>
    <w:rsid w:val="18F27B86"/>
    <w:rsid w:val="190D1179"/>
    <w:rsid w:val="19314B52"/>
    <w:rsid w:val="199C07BA"/>
    <w:rsid w:val="1A246465"/>
    <w:rsid w:val="1AB35451"/>
    <w:rsid w:val="1AC47300"/>
    <w:rsid w:val="1AC61E3E"/>
    <w:rsid w:val="1B0B4F2F"/>
    <w:rsid w:val="1B5E1503"/>
    <w:rsid w:val="1B8C31FA"/>
    <w:rsid w:val="1D2D35F7"/>
    <w:rsid w:val="1E957931"/>
    <w:rsid w:val="1ECA0306"/>
    <w:rsid w:val="1F1F544D"/>
    <w:rsid w:val="1F556F4F"/>
    <w:rsid w:val="1F772513"/>
    <w:rsid w:val="203A4931"/>
    <w:rsid w:val="20723513"/>
    <w:rsid w:val="20F34A0D"/>
    <w:rsid w:val="211A5E08"/>
    <w:rsid w:val="211B27C6"/>
    <w:rsid w:val="21967A54"/>
    <w:rsid w:val="22183599"/>
    <w:rsid w:val="227F612E"/>
    <w:rsid w:val="22D85E2B"/>
    <w:rsid w:val="22DB5B2F"/>
    <w:rsid w:val="22EC3109"/>
    <w:rsid w:val="242B219E"/>
    <w:rsid w:val="24382916"/>
    <w:rsid w:val="24561911"/>
    <w:rsid w:val="247726FC"/>
    <w:rsid w:val="25CE197B"/>
    <w:rsid w:val="26511682"/>
    <w:rsid w:val="2653633A"/>
    <w:rsid w:val="268D5392"/>
    <w:rsid w:val="28041684"/>
    <w:rsid w:val="280843B6"/>
    <w:rsid w:val="28FD67FF"/>
    <w:rsid w:val="2AC33130"/>
    <w:rsid w:val="2AD43194"/>
    <w:rsid w:val="2AD4559C"/>
    <w:rsid w:val="2B7D7783"/>
    <w:rsid w:val="2B89095C"/>
    <w:rsid w:val="2B9C2210"/>
    <w:rsid w:val="2BAA609E"/>
    <w:rsid w:val="2CA229E5"/>
    <w:rsid w:val="2D735708"/>
    <w:rsid w:val="2DA37249"/>
    <w:rsid w:val="2DCA0C7A"/>
    <w:rsid w:val="2E1A39AF"/>
    <w:rsid w:val="2EB82734"/>
    <w:rsid w:val="2F242FEE"/>
    <w:rsid w:val="2F835584"/>
    <w:rsid w:val="2F990904"/>
    <w:rsid w:val="301B06FA"/>
    <w:rsid w:val="30666714"/>
    <w:rsid w:val="307373A7"/>
    <w:rsid w:val="30A92146"/>
    <w:rsid w:val="30D37E45"/>
    <w:rsid w:val="30E12562"/>
    <w:rsid w:val="31010E56"/>
    <w:rsid w:val="312F0BE4"/>
    <w:rsid w:val="317E6003"/>
    <w:rsid w:val="318D3944"/>
    <w:rsid w:val="32C915D8"/>
    <w:rsid w:val="33515BA8"/>
    <w:rsid w:val="34E517E9"/>
    <w:rsid w:val="35C72FC7"/>
    <w:rsid w:val="35CB558F"/>
    <w:rsid w:val="35E179E6"/>
    <w:rsid w:val="35F34AE1"/>
    <w:rsid w:val="36A54EA2"/>
    <w:rsid w:val="36FC6348"/>
    <w:rsid w:val="37D01583"/>
    <w:rsid w:val="37D21F04"/>
    <w:rsid w:val="37E82428"/>
    <w:rsid w:val="385E6B8E"/>
    <w:rsid w:val="38B86BEF"/>
    <w:rsid w:val="3950297B"/>
    <w:rsid w:val="396A50BF"/>
    <w:rsid w:val="39FE5C16"/>
    <w:rsid w:val="3A2B2AA0"/>
    <w:rsid w:val="3A4560F3"/>
    <w:rsid w:val="3A4A1178"/>
    <w:rsid w:val="3AC95203"/>
    <w:rsid w:val="3C122006"/>
    <w:rsid w:val="3C926E07"/>
    <w:rsid w:val="3D1D0DC6"/>
    <w:rsid w:val="3EAF1CDE"/>
    <w:rsid w:val="3EE23D77"/>
    <w:rsid w:val="3F072D53"/>
    <w:rsid w:val="3F19380F"/>
    <w:rsid w:val="3F6727CC"/>
    <w:rsid w:val="3FF027C2"/>
    <w:rsid w:val="3FF51B86"/>
    <w:rsid w:val="401F7B29"/>
    <w:rsid w:val="4021340C"/>
    <w:rsid w:val="402342B5"/>
    <w:rsid w:val="40287C10"/>
    <w:rsid w:val="40440473"/>
    <w:rsid w:val="40C06D2F"/>
    <w:rsid w:val="411C75E7"/>
    <w:rsid w:val="41961147"/>
    <w:rsid w:val="4357114F"/>
    <w:rsid w:val="4368266F"/>
    <w:rsid w:val="43737335"/>
    <w:rsid w:val="437E00E5"/>
    <w:rsid w:val="43EF2B2F"/>
    <w:rsid w:val="44526FA2"/>
    <w:rsid w:val="44DF2E05"/>
    <w:rsid w:val="44FC39B7"/>
    <w:rsid w:val="451F1453"/>
    <w:rsid w:val="45E321E3"/>
    <w:rsid w:val="462135AE"/>
    <w:rsid w:val="46DA1A43"/>
    <w:rsid w:val="46DA3884"/>
    <w:rsid w:val="47200B0A"/>
    <w:rsid w:val="475D1262"/>
    <w:rsid w:val="477249A2"/>
    <w:rsid w:val="47BB36B5"/>
    <w:rsid w:val="47C733D2"/>
    <w:rsid w:val="47DD200C"/>
    <w:rsid w:val="47F05013"/>
    <w:rsid w:val="48C540C0"/>
    <w:rsid w:val="490133F0"/>
    <w:rsid w:val="49A32653"/>
    <w:rsid w:val="4A7869FA"/>
    <w:rsid w:val="4AC05487"/>
    <w:rsid w:val="4AC22FAD"/>
    <w:rsid w:val="4AD93E52"/>
    <w:rsid w:val="4B5F6A4E"/>
    <w:rsid w:val="4B6D2F19"/>
    <w:rsid w:val="4BA83F51"/>
    <w:rsid w:val="4C0D5644"/>
    <w:rsid w:val="4D1A2C2C"/>
    <w:rsid w:val="4D897A8A"/>
    <w:rsid w:val="4E2E44B5"/>
    <w:rsid w:val="4E7F7BF0"/>
    <w:rsid w:val="4EC54E82"/>
    <w:rsid w:val="4F4A531F"/>
    <w:rsid w:val="4F755CAF"/>
    <w:rsid w:val="4FE03A2B"/>
    <w:rsid w:val="50F1211E"/>
    <w:rsid w:val="51510BE7"/>
    <w:rsid w:val="51656440"/>
    <w:rsid w:val="52C34CD9"/>
    <w:rsid w:val="52C35B14"/>
    <w:rsid w:val="530F48B5"/>
    <w:rsid w:val="53AC3186"/>
    <w:rsid w:val="53F35971"/>
    <w:rsid w:val="544C2B31"/>
    <w:rsid w:val="549431E8"/>
    <w:rsid w:val="54996B2C"/>
    <w:rsid w:val="54C3104E"/>
    <w:rsid w:val="54E30C95"/>
    <w:rsid w:val="55A16303"/>
    <w:rsid w:val="55AE3EA2"/>
    <w:rsid w:val="55E4027B"/>
    <w:rsid w:val="56226487"/>
    <w:rsid w:val="56FE35BF"/>
    <w:rsid w:val="57C604FC"/>
    <w:rsid w:val="57CC0FC7"/>
    <w:rsid w:val="57F86260"/>
    <w:rsid w:val="588F07BF"/>
    <w:rsid w:val="58BD5C87"/>
    <w:rsid w:val="590C4183"/>
    <w:rsid w:val="599B6EA3"/>
    <w:rsid w:val="59A0270B"/>
    <w:rsid w:val="59A057F5"/>
    <w:rsid w:val="5A427C66"/>
    <w:rsid w:val="5C062772"/>
    <w:rsid w:val="5C125335"/>
    <w:rsid w:val="5CC6692D"/>
    <w:rsid w:val="5D0D455B"/>
    <w:rsid w:val="5D6650E6"/>
    <w:rsid w:val="5D732CC6"/>
    <w:rsid w:val="5E255804"/>
    <w:rsid w:val="5E36363E"/>
    <w:rsid w:val="5E5E4943"/>
    <w:rsid w:val="5F203D9E"/>
    <w:rsid w:val="6015305E"/>
    <w:rsid w:val="601D6BFA"/>
    <w:rsid w:val="60AC7BE7"/>
    <w:rsid w:val="60DA0BF8"/>
    <w:rsid w:val="61133537"/>
    <w:rsid w:val="611B5984"/>
    <w:rsid w:val="623972D2"/>
    <w:rsid w:val="62DB0C58"/>
    <w:rsid w:val="635D341B"/>
    <w:rsid w:val="63666702"/>
    <w:rsid w:val="636E764C"/>
    <w:rsid w:val="63D47B81"/>
    <w:rsid w:val="6428430D"/>
    <w:rsid w:val="647C1FC7"/>
    <w:rsid w:val="64AF00B4"/>
    <w:rsid w:val="65075D34"/>
    <w:rsid w:val="654A79CF"/>
    <w:rsid w:val="655820EC"/>
    <w:rsid w:val="656F30E4"/>
    <w:rsid w:val="65725BAB"/>
    <w:rsid w:val="65DE4CE7"/>
    <w:rsid w:val="661029C7"/>
    <w:rsid w:val="66E53E53"/>
    <w:rsid w:val="68332651"/>
    <w:rsid w:val="6881155C"/>
    <w:rsid w:val="68B57855"/>
    <w:rsid w:val="691722BE"/>
    <w:rsid w:val="694E3F32"/>
    <w:rsid w:val="6A7259FE"/>
    <w:rsid w:val="6B8B1889"/>
    <w:rsid w:val="6C0331FF"/>
    <w:rsid w:val="6C4909E0"/>
    <w:rsid w:val="6C5960C4"/>
    <w:rsid w:val="6E781A51"/>
    <w:rsid w:val="6EFF0E7F"/>
    <w:rsid w:val="70333E81"/>
    <w:rsid w:val="70CD7E32"/>
    <w:rsid w:val="716F713B"/>
    <w:rsid w:val="7194693B"/>
    <w:rsid w:val="71E51E87"/>
    <w:rsid w:val="71F47461"/>
    <w:rsid w:val="7215015F"/>
    <w:rsid w:val="727318D1"/>
    <w:rsid w:val="72834520"/>
    <w:rsid w:val="72842A96"/>
    <w:rsid w:val="72E871A5"/>
    <w:rsid w:val="733146D1"/>
    <w:rsid w:val="74024296"/>
    <w:rsid w:val="740E49D8"/>
    <w:rsid w:val="74CB18D9"/>
    <w:rsid w:val="7530273D"/>
    <w:rsid w:val="75920609"/>
    <w:rsid w:val="769B008A"/>
    <w:rsid w:val="76BB24DB"/>
    <w:rsid w:val="77A411C1"/>
    <w:rsid w:val="77D62D81"/>
    <w:rsid w:val="780B739F"/>
    <w:rsid w:val="780D4FB8"/>
    <w:rsid w:val="786054E2"/>
    <w:rsid w:val="786169EE"/>
    <w:rsid w:val="788463E1"/>
    <w:rsid w:val="788E19CC"/>
    <w:rsid w:val="79652BD2"/>
    <w:rsid w:val="79BA116F"/>
    <w:rsid w:val="79F5251F"/>
    <w:rsid w:val="7A150E01"/>
    <w:rsid w:val="7A992B33"/>
    <w:rsid w:val="7A9C07C6"/>
    <w:rsid w:val="7AC50B99"/>
    <w:rsid w:val="7ACA53E2"/>
    <w:rsid w:val="7B65636B"/>
    <w:rsid w:val="7BCD73FC"/>
    <w:rsid w:val="7BE51D21"/>
    <w:rsid w:val="7C0035E8"/>
    <w:rsid w:val="7C844BCC"/>
    <w:rsid w:val="7DAE2D99"/>
    <w:rsid w:val="7DCA16B1"/>
    <w:rsid w:val="7F1A7631"/>
    <w:rsid w:val="7F321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5"/>
    <w:qFormat/>
    <w:uiPriority w:val="9"/>
    <w:pPr>
      <w:widowControl/>
      <w:spacing w:before="100" w:beforeAutospacing="1" w:after="100" w:afterAutospacing="1"/>
      <w:jc w:val="left"/>
      <w:outlineLvl w:val="1"/>
    </w:pPr>
    <w:rPr>
      <w:rFonts w:ascii="宋体" w:hAnsi="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Indent"/>
    <w:basedOn w:val="1"/>
    <w:qFormat/>
    <w:uiPriority w:val="0"/>
    <w:pPr>
      <w:spacing w:after="120" w:afterLines="0" w:afterAutospacing="0"/>
      <w:ind w:left="420" w:leftChars="200"/>
    </w:pPr>
  </w:style>
  <w:style w:type="paragraph" w:customStyle="1" w:styleId="5">
    <w:name w:val="正文缩进1"/>
    <w:basedOn w:val="1"/>
    <w:qFormat/>
    <w:uiPriority w:val="0"/>
    <w:pPr>
      <w:ind w:firstLine="420"/>
    </w:pPr>
  </w:style>
  <w:style w:type="paragraph" w:styleId="6">
    <w:name w:val="Plain Text"/>
    <w:basedOn w:val="1"/>
    <w:qFormat/>
    <w:uiPriority w:val="0"/>
    <w:rPr>
      <w:rFonts w:ascii="宋体" w:hAnsi="Courier New" w:eastAsia="宋体" w:cs="Courier New"/>
      <w:szCs w:val="21"/>
    </w:r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Char"/>
    <w:basedOn w:val="1"/>
    <w:qFormat/>
    <w:uiPriority w:val="0"/>
    <w:pPr>
      <w:tabs>
        <w:tab w:val="left" w:pos="360"/>
      </w:tabs>
      <w:spacing w:line="300" w:lineRule="auto"/>
      <w:ind w:left="360" w:firstLine="560"/>
    </w:pPr>
    <w:rPr>
      <w:rFonts w:ascii="Tahoma" w:hAnsi="Tahoma"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4794</Words>
  <Characters>4946</Characters>
  <Lines>32</Lines>
  <Paragraphs>9</Paragraphs>
  <TotalTime>1</TotalTime>
  <ScaleCrop>false</ScaleCrop>
  <LinksUpToDate>false</LinksUpToDate>
  <CharactersWithSpaces>5234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2025-03-11T09:41:00Z</dcterms:created>
  <dc:creator>Lenovo</dc:creator>
  <cp:lastModifiedBy>人生如梦</cp:lastModifiedBy>
  <cp:lastPrinted>2025-11-19T05:05:00Z</cp:lastPrinted>
  <dcterms:modified xsi:type="dcterms:W3CDTF">2025-12-01T10:36:08Z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8A0ED255517744E6BDEF3EBBBAE02574_13</vt:lpwstr>
  </property>
  <property fmtid="{D5CDD505-2E9C-101B-9397-08002B2CF9AE}" pid="4" name="KSOTemplateDocerSaveRecord">
    <vt:lpwstr>eyJoZGlkIjoiZWVmYzM1OGYxM2Y4NDIyOWU4NzViYjVlNzQ1YTA0YzMiLCJ1c2VySWQiOiI2ODM4MzQwNDQifQ==</vt:lpwstr>
  </property>
</Properties>
</file>