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FE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highlight w:val="none"/>
          <w:shd w:val="clear" w:fill="FFFFFF"/>
          <w:lang w:val="en-US" w:eastAsia="zh-CN" w:bidi="ar"/>
        </w:rPr>
      </w:pPr>
      <w:r>
        <w:rPr>
          <w:rFonts w:hint="eastAsia" w:ascii="黑体" w:hAnsi="黑体" w:eastAsia="黑体" w:cs="黑体"/>
          <w:i w:val="0"/>
          <w:iCs w:val="0"/>
          <w:caps w:val="0"/>
          <w:snapToGrid w:val="0"/>
          <w:color w:val="000000"/>
          <w:spacing w:val="0"/>
          <w:kern w:val="0"/>
          <w:sz w:val="28"/>
          <w:szCs w:val="28"/>
          <w:highlight w:val="none"/>
          <w:shd w:val="clear" w:fill="FFFFFF"/>
          <w:lang w:val="en-US" w:eastAsia="zh-CN" w:bidi="ar"/>
        </w:rPr>
        <w:t>附件5</w:t>
      </w:r>
    </w:p>
    <w:p w14:paraId="4214E176">
      <w:pPr>
        <w:keepNext w:val="0"/>
        <w:keepLines w:val="0"/>
        <w:pageBreakBefore w:val="0"/>
        <w:widowControl w:val="0"/>
        <w:kinsoku/>
        <w:wordWrap/>
        <w:overflowPunct/>
        <w:autoSpaceDN/>
        <w:bidi w:val="0"/>
        <w:spacing w:line="576" w:lineRule="exact"/>
        <w:rPr>
          <w:rFonts w:hint="default" w:ascii="仿宋" w:hAnsi="仿宋" w:eastAsia="仿宋" w:cs="仿宋_GB2312"/>
          <w:b/>
          <w:bCs/>
          <w:sz w:val="32"/>
          <w:szCs w:val="32"/>
          <w:highlight w:val="none"/>
          <w:u w:val="single"/>
          <w:lang w:val="en-US"/>
        </w:rPr>
      </w:pPr>
      <w:r>
        <w:rPr>
          <w:rFonts w:hint="eastAsia" w:ascii="仿宋" w:hAnsi="仿宋" w:eastAsia="仿宋" w:cs="仿宋"/>
          <w:sz w:val="32"/>
          <w:szCs w:val="32"/>
          <w:highlight w:val="none"/>
          <w:lang w:val="en-US" w:eastAsia="zh-CN"/>
        </w:rPr>
        <w:t>合同编号:</w:t>
      </w:r>
      <w:r>
        <w:rPr>
          <w:rFonts w:hint="eastAsia" w:ascii="仿宋" w:hAnsi="仿宋" w:eastAsia="仿宋" w:cs="仿宋"/>
          <w:sz w:val="32"/>
          <w:szCs w:val="32"/>
          <w:highlight w:val="none"/>
          <w:u w:val="single"/>
          <w:lang w:val="en-US" w:eastAsia="zh-CN"/>
        </w:rPr>
        <w:t xml:space="preserve">         </w:t>
      </w:r>
    </w:p>
    <w:p w14:paraId="198B1951">
      <w:pPr>
        <w:keepNext w:val="0"/>
        <w:keepLines w:val="0"/>
        <w:pageBreakBefore w:val="0"/>
        <w:widowControl w:val="0"/>
        <w:kinsoku/>
        <w:wordWrap/>
        <w:overflowPunct/>
        <w:autoSpaceDN/>
        <w:bidi w:val="0"/>
        <w:rPr>
          <w:rFonts w:ascii="黑体" w:hAnsi="黑体" w:eastAsia="黑体" w:cs="黑体"/>
          <w:sz w:val="32"/>
          <w:szCs w:val="32"/>
          <w:highlight w:val="none"/>
        </w:rPr>
      </w:pPr>
    </w:p>
    <w:p w14:paraId="00423220">
      <w:pPr>
        <w:keepNext w:val="0"/>
        <w:keepLines w:val="0"/>
        <w:pageBreakBefore w:val="0"/>
        <w:widowControl w:val="0"/>
        <w:kinsoku/>
        <w:wordWrap/>
        <w:overflowPunct/>
        <w:autoSpaceDN/>
        <w:bidi w:val="0"/>
        <w:rPr>
          <w:rFonts w:ascii="黑体" w:hAnsi="黑体" w:eastAsia="黑体" w:cs="黑体"/>
          <w:sz w:val="32"/>
          <w:szCs w:val="32"/>
          <w:highlight w:val="none"/>
        </w:rPr>
      </w:pPr>
    </w:p>
    <w:p w14:paraId="0419C3D7">
      <w:pPr>
        <w:keepNext w:val="0"/>
        <w:keepLines w:val="0"/>
        <w:pageBreakBefore w:val="0"/>
        <w:widowControl w:val="0"/>
        <w:kinsoku/>
        <w:wordWrap/>
        <w:overflowPunct/>
        <w:autoSpaceDN/>
        <w:bidi w:val="0"/>
        <w:rPr>
          <w:rFonts w:ascii="黑体" w:hAnsi="黑体" w:eastAsia="黑体" w:cs="黑体"/>
          <w:sz w:val="32"/>
          <w:szCs w:val="32"/>
          <w:highlight w:val="none"/>
        </w:rPr>
      </w:pPr>
    </w:p>
    <w:p w14:paraId="5F91E08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楷体_GB2312" w:hAnsi="楷体_GB2312" w:eastAsia="楷体_GB2312" w:cs="楷体_GB2312"/>
          <w:sz w:val="32"/>
          <w:szCs w:val="32"/>
          <w:highlight w:val="none"/>
          <w:u w:val="single"/>
          <w:lang w:val="en-US" w:eastAsia="zh-CN"/>
        </w:rPr>
      </w:pPr>
      <w:r>
        <w:rPr>
          <w:rFonts w:hint="eastAsia" w:ascii="楷体_GB2312" w:hAnsi="楷体_GB2312" w:eastAsia="楷体_GB2312" w:cs="楷体_GB2312"/>
          <w:sz w:val="32"/>
          <w:szCs w:val="32"/>
          <w:highlight w:val="none"/>
          <w:u w:val="single"/>
          <w:lang w:val="en-US" w:eastAsia="zh-CN"/>
        </w:rPr>
        <w:t>（项目名称）</w:t>
      </w:r>
    </w:p>
    <w:p w14:paraId="66F097E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Arial Unicode MS" w:hAnsi="Arial Unicode MS" w:eastAsia="Arial Unicode MS" w:cs="Arial Unicode MS"/>
          <w:sz w:val="56"/>
          <w:szCs w:val="56"/>
          <w:highlight w:val="none"/>
        </w:rPr>
      </w:pPr>
      <w:r>
        <w:rPr>
          <w:rFonts w:hint="eastAsia" w:ascii="Arial Unicode MS" w:hAnsi="Arial Unicode MS" w:eastAsia="Arial Unicode MS" w:cs="Arial Unicode MS"/>
          <w:sz w:val="56"/>
          <w:szCs w:val="56"/>
          <w:highlight w:val="none"/>
        </w:rPr>
        <w:t>探</w:t>
      </w:r>
      <w:r>
        <w:rPr>
          <w:rFonts w:hint="eastAsia" w:ascii="Arial Unicode MS" w:hAnsi="Arial Unicode MS" w:eastAsia="Arial Unicode MS" w:cs="Arial Unicode MS"/>
          <w:sz w:val="56"/>
          <w:szCs w:val="56"/>
          <w:highlight w:val="none"/>
          <w:lang w:val="en-US" w:eastAsia="zh-CN"/>
        </w:rPr>
        <w:t xml:space="preserve"> </w:t>
      </w:r>
      <w:r>
        <w:rPr>
          <w:rFonts w:hint="eastAsia" w:ascii="Arial Unicode MS" w:hAnsi="Arial Unicode MS" w:eastAsia="Arial Unicode MS" w:cs="Arial Unicode MS"/>
          <w:sz w:val="56"/>
          <w:szCs w:val="56"/>
          <w:highlight w:val="none"/>
        </w:rPr>
        <w:t>矿</w:t>
      </w:r>
      <w:r>
        <w:rPr>
          <w:rFonts w:hint="eastAsia" w:ascii="Arial Unicode MS" w:hAnsi="Arial Unicode MS" w:eastAsia="Arial Unicode MS" w:cs="Arial Unicode MS"/>
          <w:sz w:val="56"/>
          <w:szCs w:val="56"/>
          <w:highlight w:val="none"/>
          <w:lang w:val="en-US" w:eastAsia="zh-CN"/>
        </w:rPr>
        <w:t xml:space="preserve"> </w:t>
      </w:r>
      <w:r>
        <w:rPr>
          <w:rFonts w:hint="eastAsia" w:ascii="Arial Unicode MS" w:hAnsi="Arial Unicode MS" w:eastAsia="Arial Unicode MS" w:cs="Arial Unicode MS"/>
          <w:sz w:val="56"/>
          <w:szCs w:val="56"/>
          <w:highlight w:val="none"/>
        </w:rPr>
        <w:t>权</w:t>
      </w:r>
      <w:r>
        <w:rPr>
          <w:rFonts w:hint="eastAsia" w:ascii="Arial Unicode MS" w:hAnsi="Arial Unicode MS" w:eastAsia="Arial Unicode MS" w:cs="Arial Unicode MS"/>
          <w:sz w:val="56"/>
          <w:szCs w:val="56"/>
          <w:highlight w:val="none"/>
          <w:lang w:val="en-US" w:eastAsia="zh-CN"/>
        </w:rPr>
        <w:t xml:space="preserve"> </w:t>
      </w:r>
      <w:r>
        <w:rPr>
          <w:rFonts w:hint="eastAsia" w:ascii="Arial Unicode MS" w:hAnsi="Arial Unicode MS" w:eastAsia="Arial Unicode MS" w:cs="Arial Unicode MS"/>
          <w:sz w:val="56"/>
          <w:szCs w:val="56"/>
          <w:highlight w:val="none"/>
        </w:rPr>
        <w:t>出</w:t>
      </w:r>
      <w:r>
        <w:rPr>
          <w:rFonts w:hint="eastAsia" w:ascii="Arial Unicode MS" w:hAnsi="Arial Unicode MS" w:eastAsia="Arial Unicode MS" w:cs="Arial Unicode MS"/>
          <w:sz w:val="56"/>
          <w:szCs w:val="56"/>
          <w:highlight w:val="none"/>
          <w:lang w:val="en-US" w:eastAsia="zh-CN"/>
        </w:rPr>
        <w:t xml:space="preserve"> </w:t>
      </w:r>
      <w:r>
        <w:rPr>
          <w:rFonts w:hint="eastAsia" w:ascii="Arial Unicode MS" w:hAnsi="Arial Unicode MS" w:eastAsia="Arial Unicode MS" w:cs="Arial Unicode MS"/>
          <w:sz w:val="56"/>
          <w:szCs w:val="56"/>
          <w:highlight w:val="none"/>
        </w:rPr>
        <w:t>让</w:t>
      </w:r>
      <w:r>
        <w:rPr>
          <w:rFonts w:hint="eastAsia" w:ascii="Arial Unicode MS" w:hAnsi="Arial Unicode MS" w:eastAsia="Arial Unicode MS" w:cs="Arial Unicode MS"/>
          <w:sz w:val="56"/>
          <w:szCs w:val="56"/>
          <w:highlight w:val="none"/>
          <w:lang w:val="en-US" w:eastAsia="zh-CN"/>
        </w:rPr>
        <w:t xml:space="preserve"> </w:t>
      </w:r>
      <w:r>
        <w:rPr>
          <w:rFonts w:hint="eastAsia" w:ascii="Arial Unicode MS" w:hAnsi="Arial Unicode MS" w:eastAsia="Arial Unicode MS" w:cs="Arial Unicode MS"/>
          <w:sz w:val="56"/>
          <w:szCs w:val="56"/>
          <w:highlight w:val="none"/>
        </w:rPr>
        <w:t>合</w:t>
      </w:r>
      <w:r>
        <w:rPr>
          <w:rFonts w:hint="eastAsia" w:ascii="Arial Unicode MS" w:hAnsi="Arial Unicode MS" w:eastAsia="Arial Unicode MS" w:cs="Arial Unicode MS"/>
          <w:sz w:val="56"/>
          <w:szCs w:val="56"/>
          <w:highlight w:val="none"/>
          <w:lang w:val="en-US" w:eastAsia="zh-CN"/>
        </w:rPr>
        <w:t xml:space="preserve"> </w:t>
      </w:r>
      <w:r>
        <w:rPr>
          <w:rFonts w:hint="eastAsia" w:ascii="Arial Unicode MS" w:hAnsi="Arial Unicode MS" w:eastAsia="Arial Unicode MS" w:cs="Arial Unicode MS"/>
          <w:sz w:val="56"/>
          <w:szCs w:val="56"/>
          <w:highlight w:val="none"/>
        </w:rPr>
        <w:t>同</w:t>
      </w:r>
    </w:p>
    <w:p w14:paraId="0CF219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76"/>
          <w:szCs w:val="76"/>
          <w:highlight w:val="none"/>
          <w:u w:val="none"/>
        </w:rPr>
      </w:pPr>
    </w:p>
    <w:p w14:paraId="25DADC0F">
      <w:pPr>
        <w:keepNext w:val="0"/>
        <w:keepLines w:val="0"/>
        <w:pageBreakBefore w:val="0"/>
        <w:widowControl w:val="0"/>
        <w:kinsoku/>
        <w:wordWrap/>
        <w:overflowPunct/>
        <w:autoSpaceDN/>
        <w:bidi w:val="0"/>
        <w:spacing w:line="576" w:lineRule="exact"/>
        <w:jc w:val="center"/>
        <w:rPr>
          <w:rFonts w:ascii="黑体" w:hAnsi="黑体" w:eastAsia="黑体" w:cs="黑体"/>
          <w:sz w:val="32"/>
          <w:szCs w:val="32"/>
          <w:highlight w:val="none"/>
        </w:rPr>
      </w:pPr>
    </w:p>
    <w:p w14:paraId="4A7A4412">
      <w:pPr>
        <w:keepNext w:val="0"/>
        <w:keepLines w:val="0"/>
        <w:pageBreakBefore w:val="0"/>
        <w:widowControl w:val="0"/>
        <w:kinsoku/>
        <w:wordWrap/>
        <w:overflowPunct/>
        <w:autoSpaceDN/>
        <w:bidi w:val="0"/>
        <w:spacing w:line="576" w:lineRule="exact"/>
        <w:jc w:val="center"/>
        <w:rPr>
          <w:rFonts w:ascii="黑体" w:hAnsi="黑体" w:eastAsia="黑体" w:cs="黑体"/>
          <w:sz w:val="32"/>
          <w:szCs w:val="32"/>
          <w:highlight w:val="none"/>
        </w:rPr>
      </w:pPr>
    </w:p>
    <w:p w14:paraId="6F17846F">
      <w:pPr>
        <w:pStyle w:val="6"/>
        <w:keepNext w:val="0"/>
        <w:keepLines w:val="0"/>
        <w:pageBreakBefore w:val="0"/>
        <w:widowControl w:val="0"/>
        <w:kinsoku/>
        <w:wordWrap/>
        <w:overflowPunct/>
        <w:autoSpaceDN/>
        <w:bidi w:val="0"/>
        <w:spacing w:line="560" w:lineRule="exact"/>
        <w:rPr>
          <w:rFonts w:ascii="仿宋" w:hAnsi="仿宋" w:eastAsia="仿宋" w:cs="Times New Roman"/>
          <w:sz w:val="32"/>
          <w:szCs w:val="32"/>
          <w:highlight w:val="none"/>
        </w:rPr>
      </w:pPr>
    </w:p>
    <w:p w14:paraId="4CCE0D77">
      <w:pPr>
        <w:pStyle w:val="6"/>
        <w:keepNext w:val="0"/>
        <w:keepLines w:val="0"/>
        <w:pageBreakBefore w:val="0"/>
        <w:widowControl w:val="0"/>
        <w:tabs>
          <w:tab w:val="left" w:pos="324"/>
        </w:tabs>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u w:val="single"/>
          <w:lang w:val="en-US" w:eastAsia="zh-CN" w:bidi="ar-SA"/>
        </w:rPr>
      </w:pPr>
      <w:r>
        <w:rPr>
          <w:rFonts w:hint="eastAsia" w:ascii="仿宋" w:hAnsi="仿宋" w:eastAsia="仿宋" w:cs="仿宋"/>
          <w:snapToGrid w:val="0"/>
          <w:kern w:val="0"/>
          <w:sz w:val="32"/>
          <w:szCs w:val="32"/>
          <w:highlight w:val="none"/>
          <w:lang w:val="en-US" w:eastAsia="zh-CN" w:bidi="ar-SA"/>
        </w:rPr>
        <w:t>甲方（出让人）：</w:t>
      </w:r>
      <w:r>
        <w:rPr>
          <w:rFonts w:hint="eastAsia" w:ascii="仿宋" w:hAnsi="仿宋" w:eastAsia="仿宋" w:cs="仿宋"/>
          <w:snapToGrid w:val="0"/>
          <w:kern w:val="0"/>
          <w:sz w:val="32"/>
          <w:szCs w:val="32"/>
          <w:highlight w:val="none"/>
          <w:u w:val="single"/>
          <w:lang w:val="en-US" w:eastAsia="zh-CN" w:bidi="ar-SA"/>
        </w:rPr>
        <w:t xml:space="preserve">                          </w:t>
      </w:r>
    </w:p>
    <w:p w14:paraId="41C1DFF7">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lang w:val="en-US" w:eastAsia="zh-CN" w:bidi="ar-SA"/>
        </w:rPr>
      </w:pPr>
      <w:r>
        <w:rPr>
          <w:rFonts w:hint="eastAsia" w:ascii="仿宋" w:hAnsi="仿宋" w:eastAsia="仿宋" w:cs="仿宋"/>
          <w:snapToGrid w:val="0"/>
          <w:kern w:val="0"/>
          <w:sz w:val="32"/>
          <w:szCs w:val="32"/>
          <w:highlight w:val="none"/>
          <w:lang w:val="en-US" w:eastAsia="zh-CN" w:bidi="ar-SA"/>
        </w:rPr>
        <w:t>住      所：</w:t>
      </w:r>
      <w:r>
        <w:rPr>
          <w:rFonts w:hint="eastAsia" w:ascii="仿宋" w:hAnsi="仿宋" w:eastAsia="仿宋" w:cs="仿宋"/>
          <w:snapToGrid w:val="0"/>
          <w:kern w:val="0"/>
          <w:sz w:val="32"/>
          <w:szCs w:val="32"/>
          <w:highlight w:val="none"/>
          <w:u w:val="single"/>
          <w:lang w:val="en-US" w:eastAsia="zh-CN" w:bidi="ar-SA"/>
        </w:rPr>
        <w:t xml:space="preserve">                              </w:t>
      </w:r>
    </w:p>
    <w:p w14:paraId="2E006023">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u w:val="single"/>
          <w:lang w:val="en-US" w:eastAsia="zh-CN" w:bidi="ar-SA"/>
        </w:rPr>
      </w:pPr>
      <w:r>
        <w:rPr>
          <w:rFonts w:hint="eastAsia" w:ascii="仿宋" w:hAnsi="仿宋" w:eastAsia="仿宋" w:cs="仿宋"/>
          <w:snapToGrid w:val="0"/>
          <w:kern w:val="0"/>
          <w:sz w:val="32"/>
          <w:szCs w:val="32"/>
          <w:highlight w:val="none"/>
          <w:lang w:val="en-US" w:eastAsia="zh-CN" w:bidi="ar-SA"/>
        </w:rPr>
        <w:t>法定代表人：</w:t>
      </w:r>
      <w:r>
        <w:rPr>
          <w:rFonts w:hint="eastAsia" w:ascii="仿宋" w:hAnsi="仿宋" w:eastAsia="仿宋" w:cs="仿宋"/>
          <w:snapToGrid w:val="0"/>
          <w:kern w:val="0"/>
          <w:sz w:val="32"/>
          <w:szCs w:val="32"/>
          <w:highlight w:val="none"/>
          <w:u w:val="single"/>
          <w:lang w:val="en-US" w:eastAsia="zh-CN" w:bidi="ar-SA"/>
        </w:rPr>
        <w:t xml:space="preserve">                              </w:t>
      </w:r>
    </w:p>
    <w:p w14:paraId="0FCA0C86">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lang w:val="en-US" w:eastAsia="zh-CN" w:bidi="ar-SA"/>
        </w:rPr>
      </w:pPr>
    </w:p>
    <w:p w14:paraId="3909A845">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lang w:val="en-US" w:eastAsia="zh-CN" w:bidi="ar-SA"/>
        </w:rPr>
      </w:pPr>
    </w:p>
    <w:p w14:paraId="0B4BA80B">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lang w:val="en-US" w:eastAsia="zh-CN" w:bidi="ar-SA"/>
        </w:rPr>
      </w:pPr>
      <w:r>
        <w:rPr>
          <w:rFonts w:hint="eastAsia" w:ascii="仿宋" w:hAnsi="仿宋" w:eastAsia="仿宋" w:cs="仿宋"/>
          <w:snapToGrid w:val="0"/>
          <w:kern w:val="0"/>
          <w:sz w:val="32"/>
          <w:szCs w:val="32"/>
          <w:highlight w:val="none"/>
          <w:lang w:val="en-US" w:eastAsia="zh-CN" w:bidi="ar-SA"/>
        </w:rPr>
        <w:t>乙方（受让人）：</w:t>
      </w:r>
      <w:r>
        <w:rPr>
          <w:rFonts w:hint="eastAsia" w:ascii="仿宋" w:hAnsi="仿宋" w:eastAsia="仿宋" w:cs="仿宋"/>
          <w:snapToGrid w:val="0"/>
          <w:kern w:val="0"/>
          <w:sz w:val="32"/>
          <w:szCs w:val="32"/>
          <w:highlight w:val="none"/>
          <w:u w:val="single"/>
          <w:lang w:val="en-US" w:eastAsia="zh-CN" w:bidi="ar-SA"/>
        </w:rPr>
        <w:t xml:space="preserve">                          </w:t>
      </w:r>
    </w:p>
    <w:p w14:paraId="18D4458D">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统一社会信用代码：</w:t>
      </w:r>
      <w:r>
        <w:rPr>
          <w:rFonts w:hint="eastAsia" w:ascii="仿宋" w:hAnsi="仿宋" w:eastAsia="仿宋" w:cs="仿宋"/>
          <w:snapToGrid w:val="0"/>
          <w:kern w:val="0"/>
          <w:sz w:val="32"/>
          <w:szCs w:val="32"/>
          <w:highlight w:val="none"/>
          <w:u w:val="single"/>
          <w:lang w:val="en-US" w:eastAsia="zh-CN" w:bidi="ar-SA"/>
        </w:rPr>
        <w:t xml:space="preserve">                        </w:t>
      </w:r>
    </w:p>
    <w:p w14:paraId="4CE5C4BD">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lang w:val="en-US" w:eastAsia="zh-CN" w:bidi="ar-SA"/>
        </w:rPr>
      </w:pPr>
      <w:r>
        <w:rPr>
          <w:rFonts w:hint="eastAsia" w:ascii="仿宋" w:hAnsi="仿宋" w:eastAsia="仿宋" w:cs="仿宋"/>
          <w:snapToGrid w:val="0"/>
          <w:kern w:val="0"/>
          <w:sz w:val="32"/>
          <w:szCs w:val="32"/>
          <w:highlight w:val="none"/>
          <w:lang w:val="en-US" w:eastAsia="zh-CN" w:bidi="ar-SA"/>
        </w:rPr>
        <w:t>住      所：</w:t>
      </w:r>
      <w:r>
        <w:rPr>
          <w:rFonts w:hint="eastAsia" w:ascii="仿宋" w:hAnsi="仿宋" w:eastAsia="仿宋" w:cs="仿宋"/>
          <w:snapToGrid w:val="0"/>
          <w:kern w:val="0"/>
          <w:sz w:val="32"/>
          <w:szCs w:val="32"/>
          <w:highlight w:val="none"/>
          <w:u w:val="single"/>
          <w:lang w:val="en-US" w:eastAsia="zh-CN" w:bidi="ar-SA"/>
        </w:rPr>
        <w:t xml:space="preserve">                              </w:t>
      </w:r>
    </w:p>
    <w:p w14:paraId="1005345D">
      <w:pPr>
        <w:pStyle w:val="6"/>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napToGrid w:val="0"/>
          <w:kern w:val="0"/>
          <w:sz w:val="32"/>
          <w:szCs w:val="32"/>
          <w:highlight w:val="none"/>
          <w:lang w:val="en-US" w:eastAsia="zh-CN" w:bidi="ar-SA"/>
        </w:rPr>
      </w:pPr>
      <w:r>
        <w:rPr>
          <w:rFonts w:hint="eastAsia" w:ascii="仿宋" w:hAnsi="仿宋" w:eastAsia="仿宋" w:cs="仿宋"/>
          <w:snapToGrid w:val="0"/>
          <w:kern w:val="0"/>
          <w:sz w:val="32"/>
          <w:szCs w:val="32"/>
          <w:highlight w:val="none"/>
          <w:lang w:val="en-US" w:eastAsia="zh-CN" w:bidi="ar-SA"/>
        </w:rPr>
        <w:t>法定代表人：</w:t>
      </w:r>
      <w:r>
        <w:rPr>
          <w:rFonts w:hint="eastAsia" w:ascii="仿宋" w:hAnsi="仿宋" w:eastAsia="仿宋" w:cs="仿宋"/>
          <w:snapToGrid w:val="0"/>
          <w:kern w:val="0"/>
          <w:sz w:val="32"/>
          <w:szCs w:val="32"/>
          <w:highlight w:val="none"/>
          <w:u w:val="single"/>
          <w:lang w:val="en-US" w:eastAsia="zh-CN" w:bidi="ar-SA"/>
        </w:rPr>
        <w:t xml:space="preserve">                              </w:t>
      </w:r>
    </w:p>
    <w:p w14:paraId="0E860103">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中华人民共和国</w:t>
      </w:r>
      <w:r>
        <w:rPr>
          <w:rFonts w:hint="eastAsia" w:ascii="仿宋" w:hAnsi="仿宋" w:eastAsia="仿宋" w:cs="仿宋"/>
          <w:sz w:val="32"/>
          <w:szCs w:val="32"/>
          <w:highlight w:val="none"/>
        </w:rPr>
        <w:t>矿产资源法》《</w:t>
      </w:r>
      <w:r>
        <w:rPr>
          <w:rFonts w:hint="eastAsia" w:ascii="仿宋" w:hAnsi="仿宋" w:eastAsia="仿宋" w:cs="仿宋"/>
          <w:sz w:val="32"/>
          <w:szCs w:val="32"/>
          <w:highlight w:val="none"/>
          <w:lang w:val="en-US" w:eastAsia="zh-CN"/>
        </w:rPr>
        <w:t>矿业权出让收益征收办法</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val="en-US" w:eastAsia="zh-CN"/>
        </w:rPr>
        <w:t>相关</w:t>
      </w:r>
      <w:r>
        <w:rPr>
          <w:rFonts w:hint="eastAsia" w:ascii="仿宋" w:hAnsi="仿宋" w:eastAsia="仿宋" w:cs="仿宋"/>
          <w:sz w:val="32"/>
          <w:szCs w:val="32"/>
          <w:highlight w:val="none"/>
        </w:rPr>
        <w:t>规定，</w:t>
      </w:r>
      <w:r>
        <w:rPr>
          <w:rFonts w:hint="eastAsia" w:ascii="仿宋" w:hAnsi="仿宋" w:eastAsia="仿宋" w:cs="仿宋"/>
          <w:sz w:val="32"/>
          <w:szCs w:val="32"/>
          <w:highlight w:val="none"/>
          <w:lang w:val="en-US" w:eastAsia="zh-CN"/>
        </w:rPr>
        <w:t>甲乙双方经协商一致订立本合同。</w:t>
      </w:r>
    </w:p>
    <w:p w14:paraId="6F03ACDA">
      <w:pPr>
        <w:keepNext w:val="0"/>
        <w:keepLines w:val="0"/>
        <w:pageBreakBefore w:val="0"/>
        <w:widowControl w:val="0"/>
        <w:kinsoku/>
        <w:wordWrap/>
        <w:overflowPunct/>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一</w:t>
      </w:r>
      <w:r>
        <w:rPr>
          <w:rFonts w:hint="eastAsia" w:ascii="黑体" w:hAnsi="黑体" w:eastAsia="黑体"/>
          <w:sz w:val="32"/>
          <w:szCs w:val="32"/>
          <w:highlight w:val="none"/>
        </w:rPr>
        <w:t>条</w:t>
      </w:r>
      <w:r>
        <w:rPr>
          <w:rFonts w:hint="eastAsia" w:ascii="仿宋" w:hAnsi="仿宋" w:eastAsia="仿宋"/>
          <w:sz w:val="32"/>
          <w:szCs w:val="32"/>
          <w:highlight w:val="none"/>
        </w:rPr>
        <w:t xml:space="preserve">  </w:t>
      </w:r>
      <w:r>
        <w:rPr>
          <w:rFonts w:hint="eastAsia" w:ascii="仿宋" w:hAnsi="仿宋" w:eastAsia="仿宋" w:cs="仿宋"/>
          <w:sz w:val="32"/>
          <w:szCs w:val="32"/>
          <w:highlight w:val="none"/>
          <w:lang w:val="en-US" w:eastAsia="zh-CN"/>
        </w:rPr>
        <w:t>探矿权基本情况</w:t>
      </w:r>
    </w:p>
    <w:p w14:paraId="2A43C48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（一）勘查项目名称：</w:t>
      </w:r>
      <w:r>
        <w:rPr>
          <w:rFonts w:hint="eastAsia" w:ascii="仿宋" w:hAnsi="仿宋" w:eastAsia="仿宋" w:cs="仿宋"/>
          <w:sz w:val="32"/>
          <w:szCs w:val="32"/>
          <w:highlight w:val="none"/>
          <w:u w:val="single"/>
          <w:lang w:val="en-US" w:eastAsia="zh-CN"/>
        </w:rPr>
        <w:t xml:space="preserve">                             </w:t>
      </w:r>
    </w:p>
    <w:p w14:paraId="2CFD8CE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（二）勘查矿种：</w:t>
      </w:r>
      <w:r>
        <w:rPr>
          <w:rFonts w:hint="eastAsia" w:ascii="仿宋" w:hAnsi="仿宋" w:eastAsia="仿宋" w:cs="仿宋"/>
          <w:sz w:val="32"/>
          <w:szCs w:val="32"/>
          <w:highlight w:val="none"/>
          <w:u w:val="single"/>
          <w:lang w:val="en-US" w:eastAsia="zh-CN"/>
        </w:rPr>
        <w:t xml:space="preserve">                                 </w:t>
      </w:r>
    </w:p>
    <w:p w14:paraId="662CD9E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（三）地理位置（所在行政区域）：</w:t>
      </w:r>
      <w:r>
        <w:rPr>
          <w:rFonts w:hint="eastAsia" w:ascii="仿宋" w:hAnsi="仿宋" w:eastAsia="仿宋" w:cs="仿宋"/>
          <w:sz w:val="32"/>
          <w:szCs w:val="32"/>
          <w:highlight w:val="none"/>
          <w:u w:val="single"/>
          <w:lang w:val="en-US" w:eastAsia="zh-CN"/>
        </w:rPr>
        <w:t xml:space="preserve">                  </w:t>
      </w:r>
    </w:p>
    <w:p w14:paraId="538181E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（四）面    积：</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 xml:space="preserve">平方千米 </w:t>
      </w:r>
    </w:p>
    <w:p w14:paraId="51B7D2C8">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（五）勘查区域坐标：</w:t>
      </w:r>
      <w:r>
        <w:rPr>
          <w:rFonts w:hint="eastAsia" w:ascii="仿宋" w:hAnsi="仿宋" w:eastAsia="仿宋" w:cs="仿宋"/>
          <w:sz w:val="32"/>
          <w:szCs w:val="32"/>
          <w:highlight w:val="none"/>
          <w:u w:val="single"/>
          <w:lang w:val="en-US" w:eastAsia="zh-CN"/>
        </w:rPr>
        <w:t xml:space="preserve">                             </w:t>
      </w:r>
    </w:p>
    <w:p w14:paraId="49F97BC3">
      <w:pPr>
        <w:keepNext w:val="0"/>
        <w:keepLines w:val="0"/>
        <w:pageBreakBefore w:val="0"/>
        <w:widowControl w:val="0"/>
        <w:kinsoku/>
        <w:wordWrap/>
        <w:overflowPunct/>
        <w:autoSpaceDN/>
        <w:bidi w:val="0"/>
        <w:spacing w:line="560" w:lineRule="exac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none"/>
          <w:lang w:val="en-US" w:eastAsia="zh-CN"/>
        </w:rPr>
        <w:t xml:space="preserve">     </w:t>
      </w:r>
      <w:r>
        <w:rPr>
          <w:rFonts w:hint="eastAsia" w:ascii="仿宋" w:hAnsi="仿宋" w:eastAsia="仿宋" w:cs="仿宋"/>
          <w:sz w:val="32"/>
          <w:szCs w:val="32"/>
          <w:highlight w:val="none"/>
          <w:u w:val="single"/>
          <w:lang w:val="en-US" w:eastAsia="zh-CN"/>
        </w:rPr>
        <w:t xml:space="preserve">                                                </w:t>
      </w:r>
    </w:p>
    <w:p w14:paraId="17435122">
      <w:pPr>
        <w:keepNext w:val="0"/>
        <w:keepLines w:val="0"/>
        <w:pageBreakBefore w:val="0"/>
        <w:widowControl w:val="0"/>
        <w:kinsoku/>
        <w:wordWrap/>
        <w:overflowPunct/>
        <w:autoSpaceDN/>
        <w:bidi w:val="0"/>
        <w:spacing w:line="560" w:lineRule="exac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none"/>
          <w:lang w:val="en-US" w:eastAsia="zh-CN"/>
        </w:rPr>
        <w:t xml:space="preserve">     </w:t>
      </w:r>
      <w:r>
        <w:rPr>
          <w:rFonts w:hint="eastAsia" w:ascii="仿宋" w:hAnsi="仿宋" w:eastAsia="仿宋" w:cs="仿宋"/>
          <w:sz w:val="32"/>
          <w:szCs w:val="32"/>
          <w:highlight w:val="none"/>
          <w:u w:val="single"/>
          <w:lang w:val="en-US" w:eastAsia="zh-CN"/>
        </w:rPr>
        <w:t xml:space="preserve">                                                </w:t>
      </w:r>
    </w:p>
    <w:p w14:paraId="4DC96897">
      <w:pPr>
        <w:keepNext w:val="0"/>
        <w:keepLines w:val="0"/>
        <w:pageBreakBefore w:val="0"/>
        <w:widowControl w:val="0"/>
        <w:kinsoku/>
        <w:wordWrap/>
        <w:overflowPunct/>
        <w:autoSpaceDN/>
        <w:bidi w:val="0"/>
        <w:spacing w:line="560" w:lineRule="exac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none"/>
          <w:lang w:val="en-US" w:eastAsia="zh-CN"/>
        </w:rPr>
        <w:t xml:space="preserve">     </w:t>
      </w:r>
      <w:r>
        <w:rPr>
          <w:rFonts w:hint="eastAsia" w:ascii="仿宋" w:hAnsi="仿宋" w:eastAsia="仿宋" w:cs="仿宋"/>
          <w:sz w:val="32"/>
          <w:szCs w:val="32"/>
          <w:highlight w:val="none"/>
          <w:u w:val="single"/>
          <w:lang w:val="en-US" w:eastAsia="zh-CN"/>
        </w:rPr>
        <w:t xml:space="preserve">                          （2000国家大地坐标系）</w:t>
      </w:r>
    </w:p>
    <w:p w14:paraId="7FE64D90">
      <w:pPr>
        <w:keepNext w:val="0"/>
        <w:keepLines w:val="0"/>
        <w:pageBreakBefore w:val="0"/>
        <w:widowControl w:val="0"/>
        <w:kinsoku/>
        <w:wordWrap/>
        <w:overflowPunct/>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sz w:val="32"/>
          <w:szCs w:val="32"/>
          <w:highlight w:val="none"/>
        </w:rPr>
        <w:t>第二条</w:t>
      </w:r>
      <w:r>
        <w:rPr>
          <w:rFonts w:hint="eastAsia" w:ascii="仿宋" w:hAnsi="仿宋" w:eastAsia="仿宋"/>
          <w:sz w:val="32"/>
          <w:szCs w:val="32"/>
          <w:highlight w:val="none"/>
        </w:rPr>
        <w:t xml:space="preserve">  </w:t>
      </w:r>
      <w:r>
        <w:rPr>
          <w:rFonts w:hint="eastAsia" w:ascii="仿宋" w:hAnsi="仿宋" w:eastAsia="仿宋" w:cs="仿宋"/>
          <w:sz w:val="32"/>
          <w:szCs w:val="32"/>
          <w:highlight w:val="none"/>
          <w:lang w:val="en-US" w:eastAsia="zh-CN"/>
        </w:rPr>
        <w:t>出让方式：</w:t>
      </w:r>
      <w:r>
        <w:rPr>
          <w:rFonts w:hint="eastAsia" w:ascii="仿宋" w:hAnsi="仿宋" w:eastAsia="仿宋" w:cs="仿宋"/>
          <w:sz w:val="32"/>
          <w:szCs w:val="32"/>
          <w:highlight w:val="none"/>
          <w:u w:val="single"/>
          <w:lang w:val="en-US" w:eastAsia="zh-CN"/>
        </w:rPr>
        <w:t>□招标 □拍卖 □挂牌 □协议</w:t>
      </w:r>
    </w:p>
    <w:p w14:paraId="586F574F">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条</w:t>
      </w:r>
      <w:r>
        <w:rPr>
          <w:rFonts w:hint="eastAsia" w:ascii="仿宋" w:hAnsi="仿宋" w:eastAsia="仿宋"/>
          <w:sz w:val="32"/>
          <w:szCs w:val="32"/>
          <w:highlight w:val="none"/>
        </w:rPr>
        <w:t xml:space="preserve">  </w:t>
      </w:r>
      <w:r>
        <w:rPr>
          <w:rFonts w:hint="eastAsia" w:ascii="仿宋" w:hAnsi="仿宋" w:eastAsia="仿宋" w:cs="仿宋"/>
          <w:sz w:val="32"/>
          <w:szCs w:val="32"/>
          <w:highlight w:val="none"/>
          <w:lang w:val="en-US" w:eastAsia="zh-CN"/>
        </w:rPr>
        <w:t>探矿权的期限为五年。探矿权</w:t>
      </w:r>
      <w:r>
        <w:rPr>
          <w:rFonts w:hint="eastAsia" w:ascii="仿宋" w:hAnsi="仿宋" w:eastAsia="仿宋" w:cs="仿宋"/>
          <w:sz w:val="32"/>
          <w:szCs w:val="32"/>
          <w:highlight w:val="none"/>
        </w:rPr>
        <w:t>期限</w:t>
      </w:r>
      <w:r>
        <w:rPr>
          <w:rFonts w:hint="eastAsia" w:ascii="仿宋" w:hAnsi="仿宋" w:eastAsia="仿宋" w:cs="仿宋"/>
          <w:sz w:val="32"/>
          <w:szCs w:val="32"/>
          <w:highlight w:val="none"/>
          <w:lang w:val="en-US" w:eastAsia="zh-CN"/>
        </w:rPr>
        <w:t>届满，可以续期，续期最多不超过三次，每次期限为五年。法律、行政法规另有规定的除外。</w:t>
      </w:r>
    </w:p>
    <w:p w14:paraId="188D1B01">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第四条</w:t>
      </w:r>
      <w:r>
        <w:rPr>
          <w:rFonts w:hint="eastAsia" w:ascii="仿宋" w:hAnsi="仿宋" w:eastAsia="仿宋"/>
          <w:sz w:val="32"/>
          <w:szCs w:val="32"/>
          <w:highlight w:val="none"/>
        </w:rPr>
        <w:t xml:space="preserve">  </w:t>
      </w:r>
      <w:r>
        <w:rPr>
          <w:rFonts w:hint="eastAsia" w:ascii="仿宋" w:hAnsi="仿宋" w:eastAsia="仿宋" w:cs="仿宋"/>
          <w:sz w:val="32"/>
          <w:szCs w:val="32"/>
          <w:highlight w:val="none"/>
          <w:lang w:val="en-US" w:eastAsia="zh-CN"/>
        </w:rPr>
        <w:t>矿业权出让收益</w:t>
      </w:r>
    </w:p>
    <w:p w14:paraId="7E0EDE5D">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（一）一次性缴纳探矿权成交价部分为人民币：</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元（大写）（</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元）。乙方应在收到征收机关缴款通知书之日起30日内缴纳。</w:t>
      </w:r>
    </w:p>
    <w:p w14:paraId="78A6257B">
      <w:pPr>
        <w:keepNext w:val="0"/>
        <w:keepLines w:val="0"/>
        <w:pageBreakBefore w:val="0"/>
        <w:widowControl w:val="0"/>
        <w:kinsoku/>
        <w:wordWrap/>
        <w:overflowPunct/>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（二）该探矿权转为采矿权后，按照矿产品销售收入的</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%逐年向征收机关申报缴纳采矿权出让收益，缴款时间等事项在采矿权出让合同中按规定另行约定</w:t>
      </w:r>
      <w:r>
        <w:rPr>
          <w:rFonts w:hint="eastAsia" w:ascii="楷体_GB2312" w:hAnsi="楷体_GB2312" w:eastAsia="楷体_GB2312" w:cs="楷体_GB2312"/>
          <w:sz w:val="32"/>
          <w:szCs w:val="32"/>
          <w:highlight w:val="none"/>
          <w:lang w:val="en-US" w:eastAsia="zh-CN"/>
        </w:rPr>
        <w:t>。</w:t>
      </w:r>
    </w:p>
    <w:p w14:paraId="7A141AC8">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b w:val="0"/>
          <w:bCs w:val="0"/>
          <w:snapToGrid w:val="0"/>
          <w:kern w:val="0"/>
          <w:sz w:val="32"/>
          <w:szCs w:val="32"/>
          <w:highlight w:val="none"/>
          <w:lang w:val="en-US" w:eastAsia="zh-CN" w:bidi="ar-SA"/>
        </w:rPr>
      </w:pPr>
      <w:r>
        <w:rPr>
          <w:rFonts w:hint="eastAsia" w:ascii="仿宋" w:hAnsi="仿宋" w:eastAsia="仿宋" w:cs="仿宋"/>
          <w:b w:val="0"/>
          <w:bCs w:val="0"/>
          <w:snapToGrid w:val="0"/>
          <w:kern w:val="0"/>
          <w:sz w:val="32"/>
          <w:szCs w:val="32"/>
          <w:highlight w:val="none"/>
          <w:lang w:val="en-US" w:eastAsia="zh-CN" w:bidi="ar-SA"/>
        </w:rPr>
        <w:t>探矿权转为采矿权时如变更矿种，应在采矿权出让合同中约定采矿权出让收益缴纳事宜。</w:t>
      </w:r>
    </w:p>
    <w:p w14:paraId="6C5C7353">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第五条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乙方未按时足额缴纳矿业权出让收益的，从违约之日起每日加收千分之二的违约金，加收的违约金不超过欠缴金额本金。</w:t>
      </w:r>
    </w:p>
    <w:p w14:paraId="1AF85718">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highlight w:val="none"/>
        </w:rPr>
      </w:pPr>
      <w:r>
        <w:rPr>
          <w:rFonts w:hint="eastAsia" w:ascii="黑体" w:hAnsi="黑体" w:eastAsia="黑体"/>
          <w:sz w:val="32"/>
          <w:szCs w:val="32"/>
          <w:highlight w:val="none"/>
        </w:rPr>
        <w:t>第六条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乙方应按规定签订互不影响和权益保护协议或出具不影响已设矿业权人权益承诺，严格执行相关安全要求。</w:t>
      </w:r>
      <w:r>
        <w:rPr>
          <w:rFonts w:hint="eastAsia" w:ascii="楷体_GB2312" w:hAnsi="楷体_GB2312" w:eastAsia="楷体_GB2312" w:cs="楷体_GB2312"/>
          <w:sz w:val="32"/>
          <w:szCs w:val="32"/>
          <w:highlight w:val="none"/>
          <w:lang w:val="en-US" w:eastAsia="zh-CN"/>
        </w:rPr>
        <w:t>（仅用于勘查区域与已设矿业权范围重叠）</w:t>
      </w:r>
    </w:p>
    <w:p w14:paraId="46D65D18">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第七条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乙方自取得缴款凭证之日起15个工作日内，应向甲方申请办理探矿权登记。</w:t>
      </w:r>
    </w:p>
    <w:p w14:paraId="062A17D2">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第八条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甲方对于乙方提交申请材料符合要求的探矿权登记申请，应当自受理登记申请之日起20个工作日内办结探矿权登记手续。</w:t>
      </w:r>
    </w:p>
    <w:p w14:paraId="0E1D4025">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本合同签订生效后，甲方不应将本合同约定的全部或者部分勘查区域另行向第三方出让探矿权或者采矿权，依据相关规定同一区域可以按照不同矿种分别设置探矿权、采矿权的情形除外。</w:t>
      </w:r>
    </w:p>
    <w:p w14:paraId="3EA95301">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第九条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乙方自本合同签订之日起</w:t>
      </w:r>
      <w:r>
        <w:rPr>
          <w:rFonts w:hint="eastAsia" w:ascii="仿宋" w:hAnsi="仿宋" w:eastAsia="仿宋"/>
          <w:sz w:val="32"/>
          <w:szCs w:val="32"/>
          <w:highlight w:val="none"/>
          <w:u w:val="single"/>
          <w:lang w:val="en-US" w:eastAsia="zh-CN"/>
        </w:rPr>
        <w:t>6个月内</w:t>
      </w:r>
      <w:r>
        <w:rPr>
          <w:rFonts w:hint="eastAsia" w:ascii="仿宋" w:hAnsi="仿宋" w:eastAsia="仿宋"/>
          <w:sz w:val="32"/>
          <w:szCs w:val="32"/>
          <w:highlight w:val="none"/>
          <w:lang w:val="en-US" w:eastAsia="zh-CN"/>
        </w:rPr>
        <w:t>，应编制勘查方案，申请办理勘查许可。未取得勘查许可证，不得进行矿产资源勘查作业。</w:t>
      </w:r>
    </w:p>
    <w:p w14:paraId="66AB4DAD">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黑体" w:hAnsi="黑体" w:eastAsia="黑体"/>
          <w:sz w:val="32"/>
          <w:szCs w:val="32"/>
          <w:highlight w:val="none"/>
        </w:rPr>
        <w:t>第十条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乙方申请探矿权续期时，需按照相关规定核减勘查面积，勘查区域以探矿权登记为准，符合规定的特殊情形除外。</w:t>
      </w:r>
    </w:p>
    <w:p w14:paraId="348C808E">
      <w:pPr>
        <w:keepNext w:val="0"/>
        <w:keepLines w:val="0"/>
        <w:pageBreakBefore w:val="0"/>
        <w:widowControl w:val="0"/>
        <w:kinsoku/>
        <w:wordWrap/>
        <w:overflowPunct/>
        <w:autoSpaceDN/>
        <w:bidi w:val="0"/>
        <w:adjustRightInd w:val="0"/>
        <w:spacing w:line="560" w:lineRule="exact"/>
        <w:ind w:firstLine="640" w:firstLineChars="200"/>
        <w:rPr>
          <w:rFonts w:hint="default"/>
          <w:highlight w:val="none"/>
          <w:lang w:val="en-US" w:eastAsia="zh-CN"/>
        </w:rPr>
      </w:pPr>
      <w:r>
        <w:rPr>
          <w:rFonts w:hint="eastAsia" w:ascii="仿宋" w:hAnsi="仿宋" w:eastAsia="仿宋"/>
          <w:sz w:val="32"/>
          <w:szCs w:val="32"/>
          <w:highlight w:val="none"/>
          <w:lang w:val="en-US" w:eastAsia="zh-CN"/>
        </w:rPr>
        <w:t>乙方应当及时开展勘查工作，无正当理由未开展或者未实质性开展勘查工作的，探矿权期限届满时不予续期。</w:t>
      </w:r>
    </w:p>
    <w:p w14:paraId="10AB95F1">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黑体" w:hAnsi="黑体" w:eastAsia="黑体"/>
          <w:sz w:val="32"/>
          <w:szCs w:val="32"/>
          <w:highlight w:val="none"/>
        </w:rPr>
        <w:t>第十一条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乙方按规定可以转让探矿权，本合同约定的权利、义务依法随之转移。</w:t>
      </w:r>
    </w:p>
    <w:p w14:paraId="7C38F442">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第十二条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在持有探矿权期间，应当严格遵守矿产资源法律法规、相关矿业权管理政策，认真履行综合勘查、绿色勘查、地质资料汇交、合理和集约节约用地用林用草、临时用地恢复、探矿权占用费缴纳、矿产资源应急处置、</w:t>
      </w:r>
      <w:r>
        <w:rPr>
          <w:rFonts w:ascii="仿宋" w:hAnsi="仿宋" w:eastAsia="仿宋"/>
          <w:sz w:val="32"/>
          <w:szCs w:val="32"/>
          <w:highlight w:val="none"/>
          <w:u w:val="single"/>
        </w:rPr>
        <w:t>安全生产、环境保护</w:t>
      </w:r>
      <w:r>
        <w:rPr>
          <w:rFonts w:hint="eastAsia" w:ascii="仿宋" w:hAnsi="仿宋" w:eastAsia="仿宋"/>
          <w:sz w:val="32"/>
          <w:szCs w:val="32"/>
          <w:highlight w:val="none"/>
          <w:u w:val="none"/>
          <w:lang w:val="en-US" w:eastAsia="zh-CN"/>
        </w:rPr>
        <w:t>等相关义务。勘查活动结束后，应当履行清理、回填、封堵、植被恢复等义务。</w:t>
      </w:r>
    </w:p>
    <w:p w14:paraId="2D88126B">
      <w:pPr>
        <w:keepNext w:val="0"/>
        <w:keepLines w:val="0"/>
        <w:pageBreakBefore w:val="0"/>
        <w:widowControl w:val="0"/>
        <w:kinsoku/>
        <w:wordWrap/>
        <w:overflowPunct/>
        <w:autoSpaceDN/>
        <w:bidi w:val="0"/>
        <w:adjustRightInd w:val="0"/>
        <w:spacing w:line="56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黑体" w:hAnsi="黑体" w:eastAsia="黑体"/>
          <w:sz w:val="32"/>
          <w:szCs w:val="32"/>
          <w:highlight w:val="none"/>
        </w:rPr>
        <w:t>第十三条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乙方探明可供开采的矿产资源后，可以在探矿权期限内申请将其探矿权转为采矿权，且应符合保护性开采的有关要求</w:t>
      </w:r>
      <w:r>
        <w:rPr>
          <w:rFonts w:hint="eastAsia" w:ascii="楷体_GB2312" w:hAnsi="楷体_GB2312" w:eastAsia="楷体_GB2312" w:cs="楷体_GB2312"/>
          <w:sz w:val="32"/>
          <w:szCs w:val="32"/>
          <w:highlight w:val="none"/>
          <w:lang w:val="en-US" w:eastAsia="zh-CN"/>
        </w:rPr>
        <w:t>（仅用于特定战略性矿产资源），</w:t>
      </w:r>
      <w:r>
        <w:rPr>
          <w:rFonts w:hint="eastAsia" w:ascii="仿宋" w:hAnsi="仿宋" w:eastAsia="仿宋"/>
          <w:sz w:val="32"/>
          <w:szCs w:val="32"/>
          <w:highlight w:val="none"/>
          <w:lang w:val="en-US" w:eastAsia="zh-CN"/>
        </w:rPr>
        <w:t>法律、行政法规另有规定的除外。</w:t>
      </w:r>
    </w:p>
    <w:p w14:paraId="6C60E8FA">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因公共利益的需要，或者因不可抗力或者其他特殊情形，探矿权暂时不能转为采矿权的，乙方可以申请办理探矿权保留。探矿权保留期间，探矿权期限中止计算。</w:t>
      </w:r>
    </w:p>
    <w:p w14:paraId="36A56095">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黑体" w:hAnsi="黑体" w:eastAsia="黑体"/>
          <w:sz w:val="32"/>
          <w:szCs w:val="32"/>
          <w:highlight w:val="none"/>
        </w:rPr>
        <w:t>第十四条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有下列情形之一的，本合同自动解除：</w:t>
      </w:r>
    </w:p>
    <w:p w14:paraId="6466CBA1">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rPr>
        <w:t>（一）</w:t>
      </w:r>
      <w:r>
        <w:rPr>
          <w:rFonts w:hint="eastAsia" w:ascii="仿宋" w:hAnsi="仿宋" w:eastAsia="仿宋"/>
          <w:sz w:val="32"/>
          <w:szCs w:val="32"/>
          <w:highlight w:val="none"/>
          <w:lang w:val="en-US" w:eastAsia="zh-CN"/>
        </w:rPr>
        <w:t>乙方因自身原因，逾期</w:t>
      </w:r>
      <w:r>
        <w:rPr>
          <w:rFonts w:hint="eastAsia" w:ascii="仿宋" w:hAnsi="仿宋" w:eastAsia="仿宋"/>
          <w:sz w:val="32"/>
          <w:szCs w:val="32"/>
          <w:highlight w:val="none"/>
          <w:u w:val="single"/>
          <w:lang w:val="en-US" w:eastAsia="zh-CN"/>
        </w:rPr>
        <w:t xml:space="preserve"> 60 </w:t>
      </w:r>
      <w:r>
        <w:rPr>
          <w:rFonts w:hint="eastAsia" w:ascii="仿宋" w:hAnsi="仿宋" w:eastAsia="仿宋"/>
          <w:sz w:val="32"/>
          <w:szCs w:val="32"/>
          <w:highlight w:val="none"/>
          <w:u w:val="none"/>
          <w:lang w:val="en-US" w:eastAsia="zh-CN"/>
        </w:rPr>
        <w:t>日未足额缴纳矿业权出让收益成交价部分的；</w:t>
      </w:r>
    </w:p>
    <w:p w14:paraId="4FC1DDCE">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w:t>
      </w:r>
      <w:r>
        <w:rPr>
          <w:rFonts w:hint="eastAsia" w:ascii="仿宋" w:hAnsi="仿宋" w:eastAsia="仿宋"/>
          <w:sz w:val="32"/>
          <w:szCs w:val="32"/>
          <w:highlight w:val="none"/>
          <w:u w:val="none"/>
          <w:lang w:val="en-US" w:eastAsia="zh-CN"/>
        </w:rPr>
        <w:t>乙方因自身原因，未按照本合同约定向甲方申请办理探矿权首次登记的</w:t>
      </w:r>
      <w:r>
        <w:rPr>
          <w:rFonts w:hint="eastAsia" w:ascii="仿宋" w:hAnsi="仿宋" w:eastAsia="仿宋"/>
          <w:sz w:val="32"/>
          <w:szCs w:val="32"/>
          <w:highlight w:val="none"/>
          <w:lang w:val="en-US" w:eastAsia="zh-CN"/>
        </w:rPr>
        <w:t>；</w:t>
      </w:r>
    </w:p>
    <w:p w14:paraId="0CA41FA1">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探矿权消灭的（探矿权转为采矿权的除外）。</w:t>
      </w:r>
    </w:p>
    <w:p w14:paraId="4F958272">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sz w:val="32"/>
          <w:szCs w:val="32"/>
          <w:highlight w:val="none"/>
          <w:lang w:val="en-US" w:eastAsia="zh-CN"/>
        </w:rPr>
      </w:pPr>
      <w:r>
        <w:rPr>
          <w:rFonts w:hint="eastAsia" w:ascii="仿宋" w:hAnsi="仿宋" w:eastAsia="仿宋"/>
          <w:sz w:val="32"/>
          <w:szCs w:val="32"/>
          <w:highlight w:val="none"/>
          <w:lang w:val="en-US" w:eastAsia="zh-CN"/>
        </w:rPr>
        <w:t>合同解除后，甲方按规定处置矿业权出让收益、探矿权登记等相关事宜。为了公共利益需要，矿业权被收回的，应当依法给予公平、合理的补偿。</w:t>
      </w:r>
    </w:p>
    <w:p w14:paraId="48E3522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lang w:val="en-US" w:eastAsia="zh-CN"/>
        </w:rPr>
      </w:pPr>
      <w:r>
        <w:rPr>
          <w:rFonts w:hint="eastAsia" w:ascii="黑体" w:hAnsi="黑体" w:eastAsia="黑体"/>
          <w:sz w:val="32"/>
          <w:szCs w:val="32"/>
          <w:highlight w:val="none"/>
        </w:rPr>
        <w:t>第十</w:t>
      </w: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本合同</w:t>
      </w:r>
      <w:r>
        <w:rPr>
          <w:rFonts w:ascii="仿宋" w:hAnsi="仿宋" w:eastAsia="仿宋"/>
          <w:sz w:val="32"/>
          <w:szCs w:val="32"/>
          <w:highlight w:val="none"/>
        </w:rPr>
        <w:t>未尽事宜，双方</w:t>
      </w:r>
      <w:r>
        <w:rPr>
          <w:rFonts w:hint="eastAsia" w:ascii="仿宋" w:hAnsi="仿宋" w:eastAsia="仿宋"/>
          <w:sz w:val="32"/>
          <w:szCs w:val="32"/>
          <w:highlight w:val="none"/>
          <w:lang w:val="en-US" w:eastAsia="zh-CN"/>
        </w:rPr>
        <w:t>经</w:t>
      </w:r>
      <w:r>
        <w:rPr>
          <w:rFonts w:ascii="仿宋" w:hAnsi="仿宋" w:eastAsia="仿宋"/>
          <w:sz w:val="32"/>
          <w:szCs w:val="32"/>
          <w:highlight w:val="none"/>
        </w:rPr>
        <w:t>协商一致后</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可另行签订补充协议。补充协议与本合同具有同等法律效力。</w:t>
      </w:r>
    </w:p>
    <w:p w14:paraId="5194C00F">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本合同及补充协议没有约定的，应当按照相关法律法规和规章、政策规定执行。本合同及补充协议签订后，法律法规和规章、政策规定发生变化的，按变化后的规定执行。</w:t>
      </w:r>
    </w:p>
    <w:p w14:paraId="37535BF5">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第十</w:t>
      </w: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本合同及补充协议履行过程中双方发生争议的，应当协商解决；协商不成的，甲乙双方有权向甲方所在地有管辖权的人民法院提起行政诉讼。</w:t>
      </w:r>
    </w:p>
    <w:p w14:paraId="7F775D4E">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sz w:val="32"/>
          <w:szCs w:val="32"/>
          <w:highlight w:val="none"/>
          <w:lang w:val="en-US" w:eastAsia="zh-CN"/>
        </w:rPr>
      </w:pPr>
      <w:r>
        <w:rPr>
          <w:rFonts w:hint="eastAsia" w:ascii="黑体" w:hAnsi="黑体" w:eastAsia="黑体"/>
          <w:sz w:val="32"/>
          <w:szCs w:val="32"/>
          <w:highlight w:val="none"/>
        </w:rPr>
        <w:t>第十</w:t>
      </w: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条</w:t>
      </w: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本合同一式六份，甲乙双方各持三份，自双方盖章之日起生效。</w:t>
      </w:r>
    </w:p>
    <w:p w14:paraId="078CA880">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sz w:val="32"/>
          <w:szCs w:val="32"/>
          <w:highlight w:val="none"/>
        </w:rPr>
        <w:t xml:space="preserve">                                                                                                                                                                                                                                                                                                                                                                                                                                                                                                                                                                                                                                                                                                                                                                                                                                                                                                                                                                                                                                                                                                                                                                                                                                                                                                                                                                                                                                                                                                                                                                                                                                                                                                                                                                                                                                                                                                                                                                                                                                                                                                                                                                                                                                                                                                                                                                                                                                                                                                                                                                                                                                                                                                                                                                                                                                                                                                                                                                                                                                                                                                                                                                                                                                                                                                                                                                                                                                                                                                                                                                                                                                                                                                                                                                                                                                                                                                                                                                                                                                                                                                                                                                                                                </w:t>
      </w:r>
      <w:r>
        <w:rPr>
          <w:rFonts w:hint="eastAsia" w:ascii="黑体" w:hAnsi="黑体" w:eastAsia="黑体"/>
          <w:sz w:val="32"/>
          <w:szCs w:val="32"/>
          <w:highlight w:val="none"/>
        </w:rPr>
        <w:t xml:space="preserve">                                                                                                                                                                                                                                                                                                                                                                                                                                                                                                                                                                                                                                                                                                                                                                                                                                                                                                                                                                                                                                                                                                                                                                                                                                                                                                                                                                                                                                                                                                                                                                                                                                                                                                                                                                                                                                                                                                                                                                                                                                                                                                                                                                                                                                                                                                                                                                                                                                                                                                                                                                                                                                                                                                                                                                                                                                                                                                                                                                                                                                                                                                                                                                                                                                                                                                                                                                                                                                                                                                                                                                                                                                                                                                                                                                                                                                                                                                                                                                                                                                                                                                                                                                                                                </w:t>
      </w:r>
      <w:r>
        <w:rPr>
          <w:rFonts w:hint="eastAsia" w:ascii="黑体" w:hAnsi="黑体" w:eastAsia="黑体"/>
          <w:sz w:val="32"/>
          <w:szCs w:val="32"/>
          <w:highlight w:val="none"/>
        </w:rPr>
        <w:t xml:space="preserve">                                                                                                                                                                                                                                                                                                                                                                                                                                                                                                                                                                                                                                                                                                                                                                                                                                                                                                                                                                                                                                                                                                                                                                                                                                                                                                                                                                                                                                                                                                                                                </w:t>
      </w:r>
    </w:p>
    <w:p w14:paraId="60755AC0">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2F7A889B">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7978CD74">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3E62742B">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0CCCBB68">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4ECEEF39">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58EF9090">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2A9FA0A1">
      <w:pPr>
        <w:keepNext w:val="0"/>
        <w:keepLines w:val="0"/>
        <w:pageBreakBefore w:val="0"/>
        <w:widowControl w:val="0"/>
        <w:kinsoku/>
        <w:wordWrap/>
        <w:overflowPunct/>
        <w:autoSpaceDN/>
        <w:bidi w:val="0"/>
        <w:spacing w:line="560" w:lineRule="exact"/>
        <w:rPr>
          <w:rFonts w:ascii="仿宋_GB2312" w:hAnsi="仿宋" w:eastAsia="仿宋_GB2312"/>
          <w:sz w:val="32"/>
          <w:szCs w:val="32"/>
          <w:highlight w:val="none"/>
        </w:rPr>
      </w:pPr>
    </w:p>
    <w:p w14:paraId="7843DDAD">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lang w:val="en-US" w:eastAsia="zh-CN"/>
        </w:rPr>
      </w:pPr>
    </w:p>
    <w:p w14:paraId="75815DB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lang w:val="en-US" w:eastAsia="zh-CN"/>
        </w:rPr>
      </w:pPr>
    </w:p>
    <w:p w14:paraId="628AA6B3">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u w:val="single"/>
        </w:rPr>
      </w:pPr>
      <w:r>
        <w:rPr>
          <w:rFonts w:hint="eastAsia" w:ascii="仿宋" w:hAnsi="仿宋" w:eastAsia="仿宋"/>
          <w:sz w:val="32"/>
          <w:szCs w:val="32"/>
          <w:highlight w:val="none"/>
          <w:lang w:val="en-US" w:eastAsia="zh-CN"/>
        </w:rPr>
        <w:t>甲方</w:t>
      </w:r>
      <w:r>
        <w:rPr>
          <w:rFonts w:hint="eastAsia" w:ascii="仿宋" w:hAnsi="仿宋" w:eastAsia="仿宋"/>
          <w:sz w:val="32"/>
          <w:szCs w:val="32"/>
          <w:highlight w:val="none"/>
        </w:rPr>
        <w:t>(盖章)：</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p>
    <w:p w14:paraId="7D2190B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0B5D9A4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时      间：</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年</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月</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日</w:t>
      </w:r>
    </w:p>
    <w:p w14:paraId="068A31A9">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63BE4AA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328C589E">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42BB4CB6">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u w:val="single"/>
        </w:rPr>
      </w:pPr>
      <w:r>
        <w:rPr>
          <w:rFonts w:hint="eastAsia" w:ascii="仿宋" w:hAnsi="仿宋" w:eastAsia="仿宋"/>
          <w:sz w:val="32"/>
          <w:szCs w:val="32"/>
          <w:highlight w:val="none"/>
          <w:lang w:val="en-US" w:eastAsia="zh-CN"/>
        </w:rPr>
        <w:t>乙方</w:t>
      </w:r>
      <w:r>
        <w:rPr>
          <w:rFonts w:hint="eastAsia" w:ascii="仿宋" w:hAnsi="仿宋" w:eastAsia="仿宋"/>
          <w:sz w:val="32"/>
          <w:szCs w:val="32"/>
          <w:highlight w:val="none"/>
        </w:rPr>
        <w:t>(盖章)：</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p>
    <w:p w14:paraId="1C82AEAC">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0D4E20CF">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时      间：</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年</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月</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lang w:val="en-US" w:eastAsia="zh-CN"/>
        </w:rPr>
        <w:t>日</w:t>
      </w:r>
    </w:p>
    <w:p w14:paraId="22131E1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31D00AD4">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08BBF18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6B32FB1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rPr>
      </w:pPr>
    </w:p>
    <w:p w14:paraId="3E20736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联系人/经办人：</w:t>
      </w:r>
      <w:bookmarkStart w:id="0" w:name="_GoBack"/>
      <w:bookmarkEnd w:id="0"/>
    </w:p>
    <w:p w14:paraId="4E786E4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联系电话：</w:t>
      </w:r>
    </w:p>
    <w:p w14:paraId="0E6B3D40">
      <w:pPr>
        <w:pStyle w:val="4"/>
        <w:rPr>
          <w:rFonts w:hint="eastAsia" w:ascii="仿宋" w:hAnsi="仿宋" w:eastAsia="仿宋"/>
          <w:sz w:val="32"/>
          <w:szCs w:val="32"/>
          <w:highlight w:val="none"/>
          <w:lang w:val="en-US" w:eastAsia="zh-CN"/>
        </w:rPr>
      </w:pPr>
    </w:p>
    <w:p w14:paraId="3CB01CBA">
      <w:pPr>
        <w:pStyle w:val="5"/>
        <w:rPr>
          <w:rFonts w:hint="eastAsia" w:ascii="仿宋" w:hAnsi="仿宋" w:eastAsia="仿宋"/>
          <w:sz w:val="32"/>
          <w:szCs w:val="32"/>
          <w:highlight w:val="none"/>
          <w:lang w:val="en-US" w:eastAsia="zh-CN"/>
        </w:rPr>
      </w:pPr>
    </w:p>
    <w:p w14:paraId="5B094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highlight w:val="none"/>
          <w:shd w:val="clear" w:fill="FFFFFF"/>
          <w:lang w:val="en-US" w:eastAsia="zh-CN" w:bidi="ar"/>
        </w:rPr>
      </w:pPr>
    </w:p>
    <w:p w14:paraId="26109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highlight w:val="none"/>
          <w:shd w:val="clear" w:fill="FFFFFF"/>
          <w:lang w:val="en-US" w:eastAsia="zh-CN" w:bidi="ar"/>
        </w:rPr>
      </w:pP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00" w:usb3="00000000" w:csb0="00040000" w:csb1="00000000"/>
  </w:font>
  <w:font w:name="KSOF1C0BFD07">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F439">
    <w:pPr>
      <w:widowControl w:val="0"/>
      <w:tabs>
        <w:tab w:val="center" w:pos="4153"/>
        <w:tab w:val="right" w:pos="8306"/>
      </w:tabs>
      <w:snapToGrid w:val="0"/>
      <w:jc w:val="righ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47EE">
    <w:pPr>
      <w:widowControl w:val="0"/>
      <w:tabs>
        <w:tab w:val="center" w:pos="4153"/>
        <w:tab w:val="right" w:pos="8306"/>
      </w:tabs>
      <w:snapToGrid w:val="0"/>
      <w:jc w:val="lef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996">
    <w:pPr>
      <w:widowControl w:val="0"/>
      <w:pBdr>
        <w:bottom w:val="none" w:color="auto" w:sz="0"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0D89">
    <w:pPr>
      <w:rPr>
        <w:rFonts w:cs="仿宋_GB2312"/>
        <w:snapToGrid w:val="0"/>
        <w:kern w:val="0"/>
        <w:sz w:val="3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ED"/>
    <w:rsid w:val="0004281D"/>
    <w:rsid w:val="00053CA6"/>
    <w:rsid w:val="000B5CD2"/>
    <w:rsid w:val="000E3A9D"/>
    <w:rsid w:val="000E5D71"/>
    <w:rsid w:val="00152929"/>
    <w:rsid w:val="0022686B"/>
    <w:rsid w:val="00241023"/>
    <w:rsid w:val="002C356F"/>
    <w:rsid w:val="002F0BC8"/>
    <w:rsid w:val="003058FE"/>
    <w:rsid w:val="00341C01"/>
    <w:rsid w:val="00346A29"/>
    <w:rsid w:val="0035726D"/>
    <w:rsid w:val="00377BE7"/>
    <w:rsid w:val="00380347"/>
    <w:rsid w:val="003D059F"/>
    <w:rsid w:val="003F5BED"/>
    <w:rsid w:val="00495CFB"/>
    <w:rsid w:val="004E43BF"/>
    <w:rsid w:val="00537C28"/>
    <w:rsid w:val="00560DE3"/>
    <w:rsid w:val="005D49D0"/>
    <w:rsid w:val="006110FB"/>
    <w:rsid w:val="00616DB3"/>
    <w:rsid w:val="0065734F"/>
    <w:rsid w:val="006610EA"/>
    <w:rsid w:val="00746658"/>
    <w:rsid w:val="00764DCD"/>
    <w:rsid w:val="007B30D7"/>
    <w:rsid w:val="008817E1"/>
    <w:rsid w:val="008C7B05"/>
    <w:rsid w:val="00935FCC"/>
    <w:rsid w:val="00982DD7"/>
    <w:rsid w:val="009C0A21"/>
    <w:rsid w:val="00A94E6C"/>
    <w:rsid w:val="00AA1280"/>
    <w:rsid w:val="00AC0EB3"/>
    <w:rsid w:val="00B47ED5"/>
    <w:rsid w:val="00B72D2D"/>
    <w:rsid w:val="00B958EA"/>
    <w:rsid w:val="00C2779B"/>
    <w:rsid w:val="00C93AE1"/>
    <w:rsid w:val="00CB41E6"/>
    <w:rsid w:val="00CE43A0"/>
    <w:rsid w:val="00CF5851"/>
    <w:rsid w:val="00D678CC"/>
    <w:rsid w:val="00DE4A29"/>
    <w:rsid w:val="00E404F0"/>
    <w:rsid w:val="00E60A24"/>
    <w:rsid w:val="00E6543C"/>
    <w:rsid w:val="00EE3FA5"/>
    <w:rsid w:val="00EF1E47"/>
    <w:rsid w:val="00EF77D3"/>
    <w:rsid w:val="00F24E03"/>
    <w:rsid w:val="00FA4E78"/>
    <w:rsid w:val="00FA7A40"/>
    <w:rsid w:val="00FC131C"/>
    <w:rsid w:val="00FE48DB"/>
    <w:rsid w:val="011A06B7"/>
    <w:rsid w:val="01255120"/>
    <w:rsid w:val="01A3073B"/>
    <w:rsid w:val="01C038BF"/>
    <w:rsid w:val="02321273"/>
    <w:rsid w:val="023615AF"/>
    <w:rsid w:val="02671768"/>
    <w:rsid w:val="02FC45A7"/>
    <w:rsid w:val="03212E56"/>
    <w:rsid w:val="03EA6727"/>
    <w:rsid w:val="040A4AA1"/>
    <w:rsid w:val="043A5387"/>
    <w:rsid w:val="04561A95"/>
    <w:rsid w:val="045A5D9A"/>
    <w:rsid w:val="05017C52"/>
    <w:rsid w:val="05751D1C"/>
    <w:rsid w:val="05940AC6"/>
    <w:rsid w:val="061E062F"/>
    <w:rsid w:val="062349FD"/>
    <w:rsid w:val="06905732"/>
    <w:rsid w:val="06D05B2E"/>
    <w:rsid w:val="07430CF0"/>
    <w:rsid w:val="09656B0E"/>
    <w:rsid w:val="0A8F3F52"/>
    <w:rsid w:val="0AAF1EFF"/>
    <w:rsid w:val="0AE51355"/>
    <w:rsid w:val="0B195DAE"/>
    <w:rsid w:val="0B3A5C6C"/>
    <w:rsid w:val="0B492353"/>
    <w:rsid w:val="0B5C3E34"/>
    <w:rsid w:val="0CB1507C"/>
    <w:rsid w:val="0CB90E13"/>
    <w:rsid w:val="0CE265BB"/>
    <w:rsid w:val="0CFF53BF"/>
    <w:rsid w:val="0D166265"/>
    <w:rsid w:val="0D1F4FFE"/>
    <w:rsid w:val="0E590AFF"/>
    <w:rsid w:val="0E6F20D1"/>
    <w:rsid w:val="0F657030"/>
    <w:rsid w:val="0FD541B5"/>
    <w:rsid w:val="0FDC19E8"/>
    <w:rsid w:val="10394744"/>
    <w:rsid w:val="10953945"/>
    <w:rsid w:val="10AA3894"/>
    <w:rsid w:val="1112729A"/>
    <w:rsid w:val="1122167C"/>
    <w:rsid w:val="11A27B63"/>
    <w:rsid w:val="11DA2527"/>
    <w:rsid w:val="12227E1C"/>
    <w:rsid w:val="126B2E24"/>
    <w:rsid w:val="131C5060"/>
    <w:rsid w:val="133D6E16"/>
    <w:rsid w:val="13677D3C"/>
    <w:rsid w:val="13953D9D"/>
    <w:rsid w:val="14775713"/>
    <w:rsid w:val="14E135FC"/>
    <w:rsid w:val="153260C5"/>
    <w:rsid w:val="153951E6"/>
    <w:rsid w:val="15A9236C"/>
    <w:rsid w:val="161F618A"/>
    <w:rsid w:val="163D6497"/>
    <w:rsid w:val="166149F5"/>
    <w:rsid w:val="16876904"/>
    <w:rsid w:val="16B234A2"/>
    <w:rsid w:val="16B33193"/>
    <w:rsid w:val="16DE7DF3"/>
    <w:rsid w:val="172D2B29"/>
    <w:rsid w:val="173D7210"/>
    <w:rsid w:val="17AE3C6A"/>
    <w:rsid w:val="18DF34D5"/>
    <w:rsid w:val="18F27B86"/>
    <w:rsid w:val="190D1179"/>
    <w:rsid w:val="19314B52"/>
    <w:rsid w:val="199C07BA"/>
    <w:rsid w:val="1A246465"/>
    <w:rsid w:val="1AB35451"/>
    <w:rsid w:val="1AC47300"/>
    <w:rsid w:val="1AC61E3E"/>
    <w:rsid w:val="1B0B4F2F"/>
    <w:rsid w:val="1B5E1503"/>
    <w:rsid w:val="1B8C31FA"/>
    <w:rsid w:val="1D2D35F7"/>
    <w:rsid w:val="1E957931"/>
    <w:rsid w:val="1ECA0306"/>
    <w:rsid w:val="1F1F544D"/>
    <w:rsid w:val="1F556F4F"/>
    <w:rsid w:val="1F772513"/>
    <w:rsid w:val="203A4931"/>
    <w:rsid w:val="20723513"/>
    <w:rsid w:val="20F34A0D"/>
    <w:rsid w:val="211A5E08"/>
    <w:rsid w:val="211B27C6"/>
    <w:rsid w:val="21967A54"/>
    <w:rsid w:val="22183599"/>
    <w:rsid w:val="227F612E"/>
    <w:rsid w:val="22D85E2B"/>
    <w:rsid w:val="22DB5B2F"/>
    <w:rsid w:val="22EC3109"/>
    <w:rsid w:val="242B219E"/>
    <w:rsid w:val="24382916"/>
    <w:rsid w:val="24561911"/>
    <w:rsid w:val="247726FC"/>
    <w:rsid w:val="25CE197B"/>
    <w:rsid w:val="26511682"/>
    <w:rsid w:val="2653633A"/>
    <w:rsid w:val="268D5392"/>
    <w:rsid w:val="28041684"/>
    <w:rsid w:val="280843B6"/>
    <w:rsid w:val="28FD67FF"/>
    <w:rsid w:val="29332221"/>
    <w:rsid w:val="29712D49"/>
    <w:rsid w:val="2AC33130"/>
    <w:rsid w:val="2AD43194"/>
    <w:rsid w:val="2AD4559C"/>
    <w:rsid w:val="2B7D7783"/>
    <w:rsid w:val="2B89095C"/>
    <w:rsid w:val="2B9C2210"/>
    <w:rsid w:val="2BAA609E"/>
    <w:rsid w:val="2CA229E5"/>
    <w:rsid w:val="2D735708"/>
    <w:rsid w:val="2DA37249"/>
    <w:rsid w:val="2DCA0C7A"/>
    <w:rsid w:val="2E1A39AF"/>
    <w:rsid w:val="2EB82734"/>
    <w:rsid w:val="2F242FEE"/>
    <w:rsid w:val="2F835584"/>
    <w:rsid w:val="2F990904"/>
    <w:rsid w:val="301B06FA"/>
    <w:rsid w:val="30666714"/>
    <w:rsid w:val="307373A7"/>
    <w:rsid w:val="30A92146"/>
    <w:rsid w:val="30D37E45"/>
    <w:rsid w:val="30E12562"/>
    <w:rsid w:val="31010E56"/>
    <w:rsid w:val="312F0BE4"/>
    <w:rsid w:val="317E6003"/>
    <w:rsid w:val="318D3944"/>
    <w:rsid w:val="32C915D8"/>
    <w:rsid w:val="33515BA8"/>
    <w:rsid w:val="34E517E9"/>
    <w:rsid w:val="35C72FC7"/>
    <w:rsid w:val="35CB558F"/>
    <w:rsid w:val="35E179E6"/>
    <w:rsid w:val="35F34AE1"/>
    <w:rsid w:val="36A54EA2"/>
    <w:rsid w:val="36FC6348"/>
    <w:rsid w:val="37D01583"/>
    <w:rsid w:val="37D21F04"/>
    <w:rsid w:val="37E82428"/>
    <w:rsid w:val="385E6B8E"/>
    <w:rsid w:val="38B86BEF"/>
    <w:rsid w:val="3950297B"/>
    <w:rsid w:val="396A50BF"/>
    <w:rsid w:val="39FE5C16"/>
    <w:rsid w:val="3A2B2AA0"/>
    <w:rsid w:val="3A4560F3"/>
    <w:rsid w:val="3A4A1178"/>
    <w:rsid w:val="3AC95203"/>
    <w:rsid w:val="3C122006"/>
    <w:rsid w:val="3C926E07"/>
    <w:rsid w:val="3D1D0DC6"/>
    <w:rsid w:val="3EAF1CDE"/>
    <w:rsid w:val="3EE23D77"/>
    <w:rsid w:val="3F072D53"/>
    <w:rsid w:val="3F19380F"/>
    <w:rsid w:val="3F6727CC"/>
    <w:rsid w:val="3FF027C2"/>
    <w:rsid w:val="3FF51B86"/>
    <w:rsid w:val="401F7B29"/>
    <w:rsid w:val="4021340C"/>
    <w:rsid w:val="402342B5"/>
    <w:rsid w:val="40287C10"/>
    <w:rsid w:val="40440473"/>
    <w:rsid w:val="40C06D2F"/>
    <w:rsid w:val="411C75E7"/>
    <w:rsid w:val="41961147"/>
    <w:rsid w:val="4357114F"/>
    <w:rsid w:val="4368266F"/>
    <w:rsid w:val="43737335"/>
    <w:rsid w:val="437E00E5"/>
    <w:rsid w:val="43EF2B2F"/>
    <w:rsid w:val="44526FA2"/>
    <w:rsid w:val="44DF2E05"/>
    <w:rsid w:val="44FC39B7"/>
    <w:rsid w:val="451F1453"/>
    <w:rsid w:val="45E321E3"/>
    <w:rsid w:val="462135AE"/>
    <w:rsid w:val="46DA1A43"/>
    <w:rsid w:val="46DA3884"/>
    <w:rsid w:val="47200B0A"/>
    <w:rsid w:val="475D1262"/>
    <w:rsid w:val="477249A2"/>
    <w:rsid w:val="47BB36B5"/>
    <w:rsid w:val="47C733D2"/>
    <w:rsid w:val="47DD200C"/>
    <w:rsid w:val="47F05013"/>
    <w:rsid w:val="48C540C0"/>
    <w:rsid w:val="490133F0"/>
    <w:rsid w:val="49A32653"/>
    <w:rsid w:val="4A7869FA"/>
    <w:rsid w:val="4AC05487"/>
    <w:rsid w:val="4AC22FAD"/>
    <w:rsid w:val="4AD93E52"/>
    <w:rsid w:val="4B5F6A4E"/>
    <w:rsid w:val="4B6D2F19"/>
    <w:rsid w:val="4B8B7843"/>
    <w:rsid w:val="4BA83F51"/>
    <w:rsid w:val="4C0D5644"/>
    <w:rsid w:val="4D1A2C2C"/>
    <w:rsid w:val="4D897A8A"/>
    <w:rsid w:val="4D8D119C"/>
    <w:rsid w:val="4E2E44B5"/>
    <w:rsid w:val="4E7F7BF0"/>
    <w:rsid w:val="4EC54E82"/>
    <w:rsid w:val="4F4A531F"/>
    <w:rsid w:val="4F755CAF"/>
    <w:rsid w:val="4FE03A2B"/>
    <w:rsid w:val="50F1211E"/>
    <w:rsid w:val="51510BE7"/>
    <w:rsid w:val="51656440"/>
    <w:rsid w:val="52C34CD9"/>
    <w:rsid w:val="52C35B14"/>
    <w:rsid w:val="530F48B5"/>
    <w:rsid w:val="53AC3186"/>
    <w:rsid w:val="53F35971"/>
    <w:rsid w:val="544C2B31"/>
    <w:rsid w:val="549431E8"/>
    <w:rsid w:val="54996B2C"/>
    <w:rsid w:val="54C3104E"/>
    <w:rsid w:val="54E30C95"/>
    <w:rsid w:val="55A16303"/>
    <w:rsid w:val="55AE3EA2"/>
    <w:rsid w:val="55E4027B"/>
    <w:rsid w:val="56226487"/>
    <w:rsid w:val="56FE35BF"/>
    <w:rsid w:val="57C604FC"/>
    <w:rsid w:val="57CC0FC7"/>
    <w:rsid w:val="57F86260"/>
    <w:rsid w:val="588F07BF"/>
    <w:rsid w:val="58BD5C87"/>
    <w:rsid w:val="590C4183"/>
    <w:rsid w:val="599B6EA3"/>
    <w:rsid w:val="59A0270B"/>
    <w:rsid w:val="59A057F5"/>
    <w:rsid w:val="5A427C66"/>
    <w:rsid w:val="5C062772"/>
    <w:rsid w:val="5C125335"/>
    <w:rsid w:val="5CC6692D"/>
    <w:rsid w:val="5D0D455B"/>
    <w:rsid w:val="5D6650E6"/>
    <w:rsid w:val="5D732CC6"/>
    <w:rsid w:val="5E255804"/>
    <w:rsid w:val="5E36363E"/>
    <w:rsid w:val="5E5E4943"/>
    <w:rsid w:val="5F203D9E"/>
    <w:rsid w:val="6015305E"/>
    <w:rsid w:val="601D6BFA"/>
    <w:rsid w:val="60AC7BE7"/>
    <w:rsid w:val="60DA0BF8"/>
    <w:rsid w:val="61133537"/>
    <w:rsid w:val="611B5984"/>
    <w:rsid w:val="623972D2"/>
    <w:rsid w:val="62DB0C58"/>
    <w:rsid w:val="635D341B"/>
    <w:rsid w:val="636E764C"/>
    <w:rsid w:val="63D47B81"/>
    <w:rsid w:val="6428430D"/>
    <w:rsid w:val="647C1FC7"/>
    <w:rsid w:val="64AF00B4"/>
    <w:rsid w:val="65075D34"/>
    <w:rsid w:val="654A79CF"/>
    <w:rsid w:val="655820EC"/>
    <w:rsid w:val="656F30E4"/>
    <w:rsid w:val="65725BAB"/>
    <w:rsid w:val="65DE4CE7"/>
    <w:rsid w:val="661029C7"/>
    <w:rsid w:val="66E53E53"/>
    <w:rsid w:val="67E97973"/>
    <w:rsid w:val="68332651"/>
    <w:rsid w:val="6881155C"/>
    <w:rsid w:val="68B57855"/>
    <w:rsid w:val="691722BE"/>
    <w:rsid w:val="694E3F32"/>
    <w:rsid w:val="6A7259FE"/>
    <w:rsid w:val="6ABA55F7"/>
    <w:rsid w:val="6B8B1889"/>
    <w:rsid w:val="6C0331FF"/>
    <w:rsid w:val="6C4909E0"/>
    <w:rsid w:val="6C5960C4"/>
    <w:rsid w:val="6E781A51"/>
    <w:rsid w:val="6EFF0E7F"/>
    <w:rsid w:val="70333E81"/>
    <w:rsid w:val="70CD7E32"/>
    <w:rsid w:val="716F713B"/>
    <w:rsid w:val="7194693B"/>
    <w:rsid w:val="71E51E87"/>
    <w:rsid w:val="71F47461"/>
    <w:rsid w:val="7215015F"/>
    <w:rsid w:val="727318D1"/>
    <w:rsid w:val="72834520"/>
    <w:rsid w:val="72842A96"/>
    <w:rsid w:val="72E871A5"/>
    <w:rsid w:val="733146D1"/>
    <w:rsid w:val="74024296"/>
    <w:rsid w:val="740E49D8"/>
    <w:rsid w:val="74CB18D9"/>
    <w:rsid w:val="7530273D"/>
    <w:rsid w:val="75920609"/>
    <w:rsid w:val="769B008A"/>
    <w:rsid w:val="76BB24DB"/>
    <w:rsid w:val="778C3F2B"/>
    <w:rsid w:val="77A411C1"/>
    <w:rsid w:val="77D62D81"/>
    <w:rsid w:val="780B739F"/>
    <w:rsid w:val="780D4FB8"/>
    <w:rsid w:val="786054E2"/>
    <w:rsid w:val="786169EE"/>
    <w:rsid w:val="788463E1"/>
    <w:rsid w:val="788E19CC"/>
    <w:rsid w:val="79652BD2"/>
    <w:rsid w:val="79BA116F"/>
    <w:rsid w:val="79F5251F"/>
    <w:rsid w:val="7A150E01"/>
    <w:rsid w:val="7A992B33"/>
    <w:rsid w:val="7A9C07C6"/>
    <w:rsid w:val="7AC50B99"/>
    <w:rsid w:val="7ACA53E2"/>
    <w:rsid w:val="7B65636B"/>
    <w:rsid w:val="7BCD73FC"/>
    <w:rsid w:val="7BE51D21"/>
    <w:rsid w:val="7C0035E8"/>
    <w:rsid w:val="7C844BCC"/>
    <w:rsid w:val="7DAE2D99"/>
    <w:rsid w:val="7DCA16B1"/>
    <w:rsid w:val="7F1A7631"/>
    <w:rsid w:val="7F32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5"/>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qFormat/>
    <w:uiPriority w:val="0"/>
    <w:pPr>
      <w:spacing w:after="120" w:afterLines="0" w:afterAutospacing="0"/>
      <w:ind w:left="420" w:leftChars="200"/>
    </w:pPr>
  </w:style>
  <w:style w:type="paragraph" w:customStyle="1" w:styleId="5">
    <w:name w:val="正文缩进1"/>
    <w:basedOn w:val="1"/>
    <w:qFormat/>
    <w:uiPriority w:val="0"/>
    <w:pPr>
      <w:ind w:firstLine="420"/>
    </w:pPr>
  </w:style>
  <w:style w:type="paragraph" w:styleId="6">
    <w:name w:val="Plain Text"/>
    <w:basedOn w:val="1"/>
    <w:qFormat/>
    <w:uiPriority w:val="0"/>
    <w:rPr>
      <w:rFonts w:ascii="宋体" w:hAnsi="Courier New" w:eastAsia="宋体" w:cs="Courier New"/>
      <w:szCs w:val="21"/>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Char"/>
    <w:basedOn w:val="1"/>
    <w:qFormat/>
    <w:uiPriority w:val="0"/>
    <w:pPr>
      <w:tabs>
        <w:tab w:val="left" w:pos="360"/>
      </w:tabs>
      <w:spacing w:line="300" w:lineRule="auto"/>
      <w:ind w:left="360" w:firstLine="560"/>
    </w:pPr>
    <w:rPr>
      <w:rFonts w:ascii="Tahoma" w:hAnsi="Tahoma" w:eastAsia="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12137</Words>
  <Characters>13975</Characters>
  <Lines>32</Lines>
  <Paragraphs>9</Paragraphs>
  <TotalTime>1</TotalTime>
  <ScaleCrop>false</ScaleCrop>
  <LinksUpToDate>false</LinksUpToDate>
  <CharactersWithSpaces>28978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2025-03-11T09:41:00Z</dcterms:created>
  <dc:creator>Lenovo</dc:creator>
  <cp:lastModifiedBy>人生如梦</cp:lastModifiedBy>
  <cp:lastPrinted>2025-11-19T05:05:00Z</cp:lastPrinted>
  <dcterms:modified xsi:type="dcterms:W3CDTF">2025-12-01T10:34:26Z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8A0ED255517744E6BDEF3EBBBAE02574_13</vt:lpwstr>
  </property>
  <property fmtid="{D5CDD505-2E9C-101B-9397-08002B2CF9AE}" pid="4" name="KSOTemplateDocerSaveRecord">
    <vt:lpwstr>eyJoZGlkIjoiZWVmYzM1OGYxM2Y4NDIyOWU4NzViYjVlNzQ1YTA0YzMiLCJ1c2VySWQiOiI2ODM4MzQwNDQifQ==</vt:lpwstr>
  </property>
</Properties>
</file>