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46C" w:rsidRPr="00F3746C" w:rsidRDefault="00F3746C" w:rsidP="00F3746C">
      <w:pPr>
        <w:spacing w:line="560" w:lineRule="exact"/>
        <w:rPr>
          <w:rFonts w:ascii="黑体" w:eastAsia="黑体" w:hAnsi="黑体"/>
          <w:sz w:val="32"/>
          <w:szCs w:val="32"/>
        </w:rPr>
      </w:pPr>
      <w:r w:rsidRPr="00F3746C">
        <w:rPr>
          <w:rFonts w:ascii="黑体" w:eastAsia="黑体" w:hAnsi="黑体" w:hint="eastAsia"/>
          <w:sz w:val="32"/>
          <w:szCs w:val="32"/>
        </w:rPr>
        <w:t>附件：</w:t>
      </w:r>
    </w:p>
    <w:p w:rsidR="00F3746C" w:rsidRDefault="00F3746C" w:rsidP="00222D9B">
      <w:pPr>
        <w:spacing w:line="560" w:lineRule="exact"/>
        <w:jc w:val="center"/>
        <w:rPr>
          <w:rFonts w:eastAsia="方正小标宋简体"/>
          <w:sz w:val="44"/>
          <w:szCs w:val="44"/>
        </w:rPr>
      </w:pPr>
    </w:p>
    <w:p w:rsidR="00E61BFB" w:rsidRDefault="00222D9B" w:rsidP="00222D9B">
      <w:pPr>
        <w:spacing w:line="560" w:lineRule="exact"/>
        <w:jc w:val="center"/>
        <w:rPr>
          <w:rFonts w:eastAsia="方正小标宋简体" w:hint="eastAsia"/>
          <w:sz w:val="44"/>
          <w:szCs w:val="44"/>
        </w:rPr>
      </w:pPr>
      <w:r w:rsidRPr="00644512">
        <w:rPr>
          <w:rFonts w:eastAsia="方正小标宋简体"/>
          <w:sz w:val="44"/>
          <w:szCs w:val="44"/>
        </w:rPr>
        <w:t>兵团关于完善建设用地使用权转让、出租、</w:t>
      </w:r>
    </w:p>
    <w:p w:rsidR="00871590" w:rsidRDefault="00222D9B" w:rsidP="00222D9B">
      <w:pPr>
        <w:spacing w:line="560" w:lineRule="exact"/>
        <w:jc w:val="center"/>
        <w:rPr>
          <w:rFonts w:eastAsia="方正小标宋简体"/>
          <w:sz w:val="44"/>
          <w:szCs w:val="44"/>
        </w:rPr>
      </w:pPr>
      <w:r w:rsidRPr="00644512">
        <w:rPr>
          <w:rFonts w:eastAsia="方正小标宋简体"/>
          <w:sz w:val="44"/>
          <w:szCs w:val="44"/>
        </w:rPr>
        <w:t>抵押二级市场的实施意见</w:t>
      </w:r>
    </w:p>
    <w:p w:rsidR="00222D9B" w:rsidRPr="00F3746C" w:rsidRDefault="00222D9B" w:rsidP="00222D9B">
      <w:pPr>
        <w:spacing w:line="560" w:lineRule="exact"/>
        <w:jc w:val="center"/>
        <w:rPr>
          <w:rFonts w:eastAsia="仿宋_GB2312"/>
          <w:sz w:val="32"/>
          <w:szCs w:val="32"/>
        </w:rPr>
      </w:pPr>
      <w:r w:rsidRPr="00F3746C">
        <w:rPr>
          <w:rFonts w:eastAsia="仿宋_GB2312"/>
          <w:sz w:val="32"/>
          <w:szCs w:val="32"/>
        </w:rPr>
        <w:t>（</w:t>
      </w:r>
      <w:r w:rsidR="00B4316D" w:rsidRPr="00F3746C">
        <w:rPr>
          <w:rFonts w:eastAsia="仿宋_GB2312" w:hint="eastAsia"/>
          <w:sz w:val="32"/>
          <w:szCs w:val="32"/>
        </w:rPr>
        <w:t>征求意见</w:t>
      </w:r>
      <w:r w:rsidRPr="00F3746C">
        <w:rPr>
          <w:rFonts w:eastAsia="仿宋_GB2312" w:hint="eastAsia"/>
          <w:sz w:val="32"/>
          <w:szCs w:val="32"/>
        </w:rPr>
        <w:t>稿</w:t>
      </w:r>
      <w:r w:rsidRPr="00F3746C">
        <w:rPr>
          <w:rFonts w:eastAsia="仿宋_GB2312"/>
          <w:sz w:val="32"/>
          <w:szCs w:val="32"/>
        </w:rPr>
        <w:t>）</w:t>
      </w:r>
    </w:p>
    <w:p w:rsidR="00222D9B" w:rsidRPr="00644512" w:rsidRDefault="00222D9B" w:rsidP="00222D9B">
      <w:pPr>
        <w:spacing w:line="560" w:lineRule="exact"/>
        <w:rPr>
          <w:rFonts w:eastAsia="仿宋_GB2312"/>
          <w:sz w:val="32"/>
          <w:szCs w:val="32"/>
        </w:rPr>
      </w:pPr>
    </w:p>
    <w:p w:rsidR="00222D9B" w:rsidRPr="00644512" w:rsidRDefault="00222D9B" w:rsidP="00222D9B">
      <w:pPr>
        <w:spacing w:line="560" w:lineRule="exact"/>
        <w:rPr>
          <w:rFonts w:eastAsia="仿宋_GB2312"/>
          <w:sz w:val="32"/>
          <w:szCs w:val="32"/>
        </w:rPr>
      </w:pPr>
      <w:r w:rsidRPr="00644512">
        <w:rPr>
          <w:rFonts w:eastAsia="仿宋_GB2312"/>
          <w:sz w:val="32"/>
          <w:szCs w:val="32"/>
        </w:rPr>
        <w:t>各师市、兵团机关各部门</w:t>
      </w:r>
      <w:r>
        <w:rPr>
          <w:rFonts w:eastAsia="仿宋_GB2312" w:hint="eastAsia"/>
          <w:sz w:val="32"/>
          <w:szCs w:val="32"/>
        </w:rPr>
        <w:t>，中国人民银行乌鲁木齐中心支行、中国银保监会新疆监管局</w:t>
      </w:r>
      <w:r w:rsidRPr="00644512">
        <w:rPr>
          <w:rFonts w:eastAsia="仿宋_GB2312"/>
          <w:sz w:val="32"/>
          <w:szCs w:val="32"/>
        </w:rPr>
        <w:t>：</w:t>
      </w:r>
    </w:p>
    <w:p w:rsidR="00222D9B" w:rsidRPr="00644512" w:rsidRDefault="00222D9B" w:rsidP="00222D9B">
      <w:pPr>
        <w:spacing w:line="560" w:lineRule="exact"/>
        <w:ind w:firstLine="636"/>
        <w:rPr>
          <w:rFonts w:eastAsia="仿宋_GB2312"/>
          <w:sz w:val="32"/>
          <w:szCs w:val="32"/>
        </w:rPr>
      </w:pPr>
      <w:r w:rsidRPr="00644512">
        <w:rPr>
          <w:rFonts w:eastAsia="仿宋_GB2312"/>
          <w:sz w:val="32"/>
          <w:szCs w:val="32"/>
        </w:rPr>
        <w:t>为深入贯彻《国务院办公厅关于完善建设用地使用权转让、出租、抵押二级市场的指导意见》（国办发〔</w:t>
      </w:r>
      <w:r w:rsidRPr="00644512">
        <w:rPr>
          <w:rFonts w:eastAsia="仿宋_GB2312"/>
          <w:sz w:val="32"/>
          <w:szCs w:val="32"/>
        </w:rPr>
        <w:t>2019</w:t>
      </w:r>
      <w:r w:rsidRPr="00644512">
        <w:rPr>
          <w:rFonts w:eastAsia="仿宋_GB2312"/>
          <w:sz w:val="32"/>
          <w:szCs w:val="32"/>
        </w:rPr>
        <w:t>〕</w:t>
      </w:r>
      <w:r w:rsidRPr="00644512">
        <w:rPr>
          <w:rFonts w:eastAsia="仿宋_GB2312"/>
          <w:sz w:val="32"/>
          <w:szCs w:val="32"/>
        </w:rPr>
        <w:t>34</w:t>
      </w:r>
      <w:r w:rsidRPr="00644512">
        <w:rPr>
          <w:rFonts w:eastAsia="仿宋_GB2312"/>
          <w:sz w:val="32"/>
          <w:szCs w:val="32"/>
        </w:rPr>
        <w:t>号）要求，完善建设用地使用权转让、出租、抵押二级市场，深化</w:t>
      </w:r>
      <w:r w:rsidRPr="00644512">
        <w:rPr>
          <w:rFonts w:eastAsia="仿宋_GB2312"/>
          <w:sz w:val="32"/>
          <w:szCs w:val="32"/>
        </w:rPr>
        <w:t>“</w:t>
      </w:r>
      <w:r w:rsidRPr="00644512">
        <w:rPr>
          <w:rFonts w:eastAsia="仿宋_GB2312"/>
          <w:sz w:val="32"/>
          <w:szCs w:val="32"/>
        </w:rPr>
        <w:t>放管服</w:t>
      </w:r>
      <w:r w:rsidRPr="00644512">
        <w:rPr>
          <w:rFonts w:eastAsia="仿宋_GB2312"/>
          <w:sz w:val="32"/>
          <w:szCs w:val="32"/>
        </w:rPr>
        <w:t>”</w:t>
      </w:r>
      <w:r w:rsidRPr="00644512">
        <w:rPr>
          <w:rFonts w:eastAsia="仿宋_GB2312"/>
          <w:sz w:val="32"/>
          <w:szCs w:val="32"/>
        </w:rPr>
        <w:t>改革，保障兵团经济社会高质量发展</w:t>
      </w:r>
      <w:r w:rsidR="005055FF">
        <w:rPr>
          <w:rFonts w:eastAsia="仿宋_GB2312" w:hint="eastAsia"/>
          <w:sz w:val="32"/>
          <w:szCs w:val="32"/>
        </w:rPr>
        <w:t>，</w:t>
      </w:r>
      <w:r w:rsidRPr="00644512">
        <w:rPr>
          <w:rFonts w:eastAsia="仿宋_GB2312"/>
          <w:sz w:val="32"/>
          <w:szCs w:val="32"/>
        </w:rPr>
        <w:t>结合实际，制定以下实施意见。</w:t>
      </w:r>
    </w:p>
    <w:p w:rsidR="00222D9B" w:rsidRPr="00644512" w:rsidRDefault="00222D9B" w:rsidP="00222D9B">
      <w:pPr>
        <w:spacing w:line="560" w:lineRule="exact"/>
        <w:ind w:firstLineChars="200" w:firstLine="640"/>
        <w:rPr>
          <w:rFonts w:eastAsia="黑体"/>
          <w:sz w:val="32"/>
          <w:szCs w:val="32"/>
        </w:rPr>
      </w:pPr>
      <w:r w:rsidRPr="00644512">
        <w:rPr>
          <w:rFonts w:eastAsia="黑体"/>
          <w:sz w:val="32"/>
          <w:szCs w:val="32"/>
        </w:rPr>
        <w:t>一、总体要求</w:t>
      </w:r>
    </w:p>
    <w:p w:rsidR="00222D9B" w:rsidRPr="00644512" w:rsidRDefault="00222D9B" w:rsidP="00222D9B">
      <w:pPr>
        <w:spacing w:line="560" w:lineRule="exact"/>
        <w:ind w:firstLineChars="200" w:firstLine="640"/>
        <w:rPr>
          <w:rFonts w:eastAsia="黑体"/>
          <w:sz w:val="32"/>
          <w:szCs w:val="32"/>
        </w:rPr>
      </w:pPr>
      <w:r w:rsidRPr="00644512">
        <w:rPr>
          <w:rFonts w:eastAsia="楷体_GB2312"/>
          <w:sz w:val="32"/>
          <w:szCs w:val="32"/>
        </w:rPr>
        <w:t>（一）指导思想。</w:t>
      </w:r>
      <w:r w:rsidRPr="00644512">
        <w:rPr>
          <w:rFonts w:eastAsia="仿宋_GB2312"/>
          <w:sz w:val="32"/>
          <w:szCs w:val="32"/>
        </w:rPr>
        <w:t>以习近平新时代中国特色社会主义思想为指导，全面贯彻党的十九大和十九届二中、三中、四中、五中全会</w:t>
      </w:r>
      <w:r>
        <w:rPr>
          <w:rFonts w:eastAsia="仿宋_GB2312" w:hint="eastAsia"/>
          <w:sz w:val="32"/>
          <w:szCs w:val="32"/>
        </w:rPr>
        <w:t>和第三次中央新疆工作座谈会</w:t>
      </w:r>
      <w:r w:rsidRPr="00644512">
        <w:rPr>
          <w:rFonts w:eastAsia="仿宋_GB2312"/>
          <w:sz w:val="32"/>
          <w:szCs w:val="32"/>
        </w:rPr>
        <w:t>精神，紧紧围绕统筹推进</w:t>
      </w:r>
      <w:r w:rsidRPr="00644512">
        <w:rPr>
          <w:rFonts w:eastAsia="仿宋_GB2312"/>
          <w:sz w:val="32"/>
          <w:szCs w:val="32"/>
        </w:rPr>
        <w:t>“</w:t>
      </w:r>
      <w:r w:rsidRPr="00644512">
        <w:rPr>
          <w:rFonts w:eastAsia="仿宋_GB2312"/>
          <w:sz w:val="32"/>
          <w:szCs w:val="32"/>
        </w:rPr>
        <w:t>五位一体</w:t>
      </w:r>
      <w:r w:rsidRPr="00644512">
        <w:rPr>
          <w:rFonts w:eastAsia="仿宋_GB2312"/>
          <w:sz w:val="32"/>
          <w:szCs w:val="32"/>
        </w:rPr>
        <w:t>”</w:t>
      </w:r>
      <w:r w:rsidRPr="00644512">
        <w:rPr>
          <w:rFonts w:eastAsia="仿宋_GB2312"/>
          <w:sz w:val="32"/>
          <w:szCs w:val="32"/>
        </w:rPr>
        <w:t>总体布局和协调推进</w:t>
      </w:r>
      <w:r w:rsidRPr="00644512">
        <w:rPr>
          <w:rFonts w:eastAsia="仿宋_GB2312"/>
          <w:sz w:val="32"/>
          <w:szCs w:val="32"/>
        </w:rPr>
        <w:t>“</w:t>
      </w:r>
      <w:r w:rsidRPr="00644512">
        <w:rPr>
          <w:rFonts w:eastAsia="仿宋_GB2312"/>
          <w:sz w:val="32"/>
          <w:szCs w:val="32"/>
        </w:rPr>
        <w:t>四个全面</w:t>
      </w:r>
      <w:r w:rsidRPr="00644512">
        <w:rPr>
          <w:rFonts w:eastAsia="仿宋_GB2312"/>
          <w:sz w:val="32"/>
          <w:szCs w:val="32"/>
        </w:rPr>
        <w:t>”</w:t>
      </w:r>
      <w:r w:rsidRPr="00644512">
        <w:rPr>
          <w:rFonts w:eastAsia="仿宋_GB2312"/>
          <w:sz w:val="32"/>
          <w:szCs w:val="32"/>
        </w:rPr>
        <w:t>战略布局，牢固树立新发展理念，贯彻落实以习近平同志为核心的党中央治疆方略和对兵团的定位要求，紧紧围绕新疆社会稳定和长治久安总目标，充分发挥市场</w:t>
      </w:r>
      <w:r>
        <w:rPr>
          <w:rFonts w:eastAsia="仿宋_GB2312" w:hint="eastAsia"/>
          <w:sz w:val="32"/>
          <w:szCs w:val="32"/>
        </w:rPr>
        <w:t>在</w:t>
      </w:r>
      <w:r w:rsidRPr="00644512">
        <w:rPr>
          <w:rFonts w:eastAsia="仿宋_GB2312"/>
          <w:sz w:val="32"/>
          <w:szCs w:val="32"/>
        </w:rPr>
        <w:t>资源配置中的决定性作用，更好发挥政府作用，坚持问题导向，以建立城乡统一的建设用地市场为方向，以促进土地</w:t>
      </w:r>
      <w:r w:rsidRPr="00644512">
        <w:rPr>
          <w:rFonts w:eastAsia="仿宋_GB2312"/>
          <w:sz w:val="32"/>
          <w:szCs w:val="32"/>
        </w:rPr>
        <w:lastRenderedPageBreak/>
        <w:t>要素流通顺畅为重点，以提高存量土地资源配置效率为目的，以不动产统一登记为基础，与国土空间规划及相关产业规划相衔接，着力完善土地二级市场规则，健全服务和监管体系，提高节约集约用地水平，为推动兵团经济社会高质量发展提供用地保障。</w:t>
      </w:r>
    </w:p>
    <w:p w:rsidR="00222D9B" w:rsidRPr="00644512" w:rsidRDefault="00222D9B" w:rsidP="00222D9B">
      <w:pPr>
        <w:spacing w:line="560" w:lineRule="exact"/>
        <w:ind w:firstLine="636"/>
        <w:rPr>
          <w:rFonts w:eastAsia="仿宋_GB2312"/>
          <w:sz w:val="32"/>
          <w:szCs w:val="32"/>
        </w:rPr>
      </w:pPr>
      <w:r w:rsidRPr="00644512">
        <w:rPr>
          <w:rFonts w:eastAsia="楷体_GB2312"/>
          <w:sz w:val="32"/>
          <w:szCs w:val="32"/>
        </w:rPr>
        <w:t>（二）适用范围。</w:t>
      </w:r>
      <w:r w:rsidRPr="00644512">
        <w:rPr>
          <w:rFonts w:eastAsia="仿宋_GB2312"/>
          <w:sz w:val="32"/>
          <w:szCs w:val="32"/>
        </w:rPr>
        <w:t>建设用地使用权转让、出租、抵押二级市场的交易对象是国有建设用地使用权，重点针对土地交易以及土地连同地上建筑物、其他附着物等整宗地一并交易的情况。公开司法处置的土地应纳入土地二级市场交易，国有产权中的建设用地使用权交易没有强制规定的、党政机关或国有企事业单位建设用地使用权也应通过土地二级市场公开转让。涉及到房地产交易的，应当遵守《中华人民共和国城市房地产管理法》《城市房地产开发经营管理条例》等法律法规规定。</w:t>
      </w:r>
    </w:p>
    <w:p w:rsidR="00222D9B" w:rsidRPr="00644512" w:rsidRDefault="00222D9B" w:rsidP="00222D9B">
      <w:pPr>
        <w:pStyle w:val="a5"/>
        <w:numPr>
          <w:ilvl w:val="0"/>
          <w:numId w:val="1"/>
        </w:numPr>
        <w:spacing w:line="560" w:lineRule="exact"/>
        <w:ind w:firstLineChars="0"/>
        <w:rPr>
          <w:rFonts w:ascii="Times New Roman" w:eastAsia="黑体" w:hAnsi="Times New Roman"/>
          <w:sz w:val="32"/>
          <w:szCs w:val="32"/>
        </w:rPr>
      </w:pPr>
      <w:r w:rsidRPr="00644512">
        <w:rPr>
          <w:rFonts w:ascii="Times New Roman" w:eastAsia="黑体" w:hAnsi="Times New Roman"/>
          <w:sz w:val="32"/>
          <w:szCs w:val="32"/>
        </w:rPr>
        <w:t>完善转让规则，促进要素流通</w:t>
      </w:r>
    </w:p>
    <w:p w:rsidR="00222D9B" w:rsidRPr="00644512" w:rsidRDefault="00222D9B" w:rsidP="00222D9B">
      <w:pPr>
        <w:spacing w:line="560" w:lineRule="exact"/>
        <w:ind w:firstLineChars="150" w:firstLine="480"/>
        <w:rPr>
          <w:rFonts w:eastAsia="仿宋_GB2312"/>
          <w:sz w:val="32"/>
          <w:szCs w:val="32"/>
        </w:rPr>
      </w:pPr>
      <w:r w:rsidRPr="00644512">
        <w:rPr>
          <w:rFonts w:eastAsia="楷体_GB2312"/>
          <w:sz w:val="32"/>
          <w:szCs w:val="32"/>
        </w:rPr>
        <w:t>（一）明确建设用地使用权转让形式。</w:t>
      </w:r>
      <w:r w:rsidRPr="00644512">
        <w:rPr>
          <w:rFonts w:eastAsia="仿宋_GB2312"/>
          <w:sz w:val="32"/>
          <w:szCs w:val="32"/>
        </w:rPr>
        <w:t>将各类导致建设用地使用权转移的行为都视为建设用地使用权转让，包括买卖、交换赠与、出资以及司法处置、资产处置、法人或其他组织合并或分立等形式涉及的建设用地使用权转移。按照土地使用现状可分为纯土地交易、在建工程交易和</w:t>
      </w:r>
      <w:r w:rsidRPr="00644512">
        <w:rPr>
          <w:rFonts w:eastAsia="仿宋_GB2312"/>
          <w:sz w:val="32"/>
          <w:szCs w:val="32"/>
        </w:rPr>
        <w:t>“</w:t>
      </w:r>
      <w:r w:rsidRPr="00644512">
        <w:rPr>
          <w:rFonts w:eastAsia="仿宋_GB2312"/>
          <w:sz w:val="32"/>
          <w:szCs w:val="32"/>
        </w:rPr>
        <w:t>连地带房</w:t>
      </w:r>
      <w:r w:rsidRPr="00644512">
        <w:rPr>
          <w:rFonts w:eastAsia="仿宋_GB2312"/>
          <w:sz w:val="32"/>
          <w:szCs w:val="32"/>
        </w:rPr>
        <w:t>”</w:t>
      </w:r>
      <w:r w:rsidRPr="00644512">
        <w:rPr>
          <w:rFonts w:eastAsia="仿宋_GB2312"/>
          <w:sz w:val="32"/>
          <w:szCs w:val="32"/>
        </w:rPr>
        <w:t>整体交易三种情形。建设用地使用权转移的，地上建筑物、其他附着物所有权应一并转移。涉及到房地产转让的，按照《中华人民共和国城市房地产管理法》《城市房地产开发经营管理条例》《不动产登记暂行条例》等法律法规规定，办理房地产</w:t>
      </w:r>
      <w:r w:rsidRPr="00807A37">
        <w:rPr>
          <w:rFonts w:eastAsia="仿宋_GB2312" w:hint="eastAsia"/>
          <w:sz w:val="32"/>
          <w:szCs w:val="32"/>
        </w:rPr>
        <w:t>转让</w:t>
      </w:r>
      <w:r w:rsidRPr="00644512">
        <w:rPr>
          <w:rFonts w:eastAsia="仿宋_GB2312"/>
          <w:sz w:val="32"/>
          <w:szCs w:val="32"/>
        </w:rPr>
        <w:t>相关手续。</w:t>
      </w:r>
    </w:p>
    <w:p w:rsidR="00222D9B" w:rsidRPr="00644512" w:rsidRDefault="00222D9B" w:rsidP="00222D9B">
      <w:pPr>
        <w:spacing w:line="560" w:lineRule="exact"/>
        <w:ind w:firstLineChars="150" w:firstLine="480"/>
        <w:rPr>
          <w:rFonts w:eastAsia="楷体_GB2312"/>
          <w:sz w:val="32"/>
          <w:szCs w:val="32"/>
        </w:rPr>
      </w:pPr>
      <w:r w:rsidRPr="00644512">
        <w:rPr>
          <w:rFonts w:eastAsia="楷体_GB2312"/>
          <w:sz w:val="32"/>
          <w:szCs w:val="32"/>
        </w:rPr>
        <w:lastRenderedPageBreak/>
        <w:t>（二）明晰不同权能建设用地使用权交易、缴税、登记转让的必要条件</w:t>
      </w:r>
    </w:p>
    <w:p w:rsidR="00222D9B" w:rsidRPr="00644512" w:rsidRDefault="00222D9B" w:rsidP="00222D9B">
      <w:pPr>
        <w:spacing w:line="560" w:lineRule="exact"/>
        <w:ind w:firstLineChars="200" w:firstLine="640"/>
        <w:rPr>
          <w:rFonts w:eastAsia="仿宋_GB2312"/>
          <w:sz w:val="32"/>
          <w:szCs w:val="32"/>
        </w:rPr>
      </w:pPr>
      <w:r w:rsidRPr="00644512">
        <w:rPr>
          <w:rFonts w:eastAsia="仿宋_GB2312"/>
          <w:sz w:val="32"/>
          <w:szCs w:val="32"/>
        </w:rPr>
        <w:t>1.</w:t>
      </w:r>
      <w:r w:rsidRPr="00644512">
        <w:rPr>
          <w:rFonts w:eastAsia="仿宋_GB2312"/>
          <w:sz w:val="32"/>
          <w:szCs w:val="32"/>
        </w:rPr>
        <w:t>以划拨方式取得的建设用地使用权转让，需经师市依法批准。转让后土地用途符合《划拨用地目录》的，可不补缴土地出让价款，按转移登记办理。转让后土地用途不符合《划拨用地目录》的，在符合国土空间规划的前提下，按照《</w:t>
      </w:r>
      <w:r w:rsidRPr="00807A37">
        <w:rPr>
          <w:rFonts w:eastAsia="仿宋_GB2312" w:hint="eastAsia"/>
          <w:sz w:val="32"/>
          <w:szCs w:val="32"/>
        </w:rPr>
        <w:t>城市</w:t>
      </w:r>
      <w:r w:rsidRPr="00807A37">
        <w:rPr>
          <w:rFonts w:eastAsia="仿宋_GB2312"/>
          <w:sz w:val="32"/>
          <w:szCs w:val="32"/>
        </w:rPr>
        <w:t>房地产管理法》</w:t>
      </w:r>
      <w:r w:rsidRPr="00644512">
        <w:rPr>
          <w:rFonts w:eastAsia="仿宋_GB2312"/>
          <w:sz w:val="32"/>
          <w:szCs w:val="32"/>
        </w:rPr>
        <w:t>规定，</w:t>
      </w:r>
      <w:r w:rsidRPr="00E67525">
        <w:rPr>
          <w:rFonts w:eastAsia="仿宋_GB2312"/>
          <w:color w:val="000000"/>
          <w:sz w:val="32"/>
          <w:szCs w:val="32"/>
        </w:rPr>
        <w:t>由受让方办理土地使用权出让手续，并依照国家有关规定缴纳土地使用权出让价款。</w:t>
      </w:r>
    </w:p>
    <w:p w:rsidR="00222D9B" w:rsidRPr="00644512" w:rsidRDefault="00222D9B" w:rsidP="00222D9B">
      <w:pPr>
        <w:spacing w:line="560" w:lineRule="exact"/>
        <w:ind w:firstLineChars="200" w:firstLine="640"/>
        <w:rPr>
          <w:rFonts w:eastAsia="仿宋_GB2312"/>
          <w:sz w:val="32"/>
          <w:szCs w:val="32"/>
        </w:rPr>
      </w:pPr>
      <w:r w:rsidRPr="00644512">
        <w:rPr>
          <w:rFonts w:eastAsia="仿宋_GB2312"/>
          <w:sz w:val="32"/>
          <w:szCs w:val="32"/>
        </w:rPr>
        <w:t>2.</w:t>
      </w:r>
      <w:r w:rsidRPr="00644512">
        <w:rPr>
          <w:rFonts w:eastAsia="仿宋_GB2312"/>
          <w:sz w:val="32"/>
          <w:szCs w:val="32"/>
        </w:rPr>
        <w:t>以出让方式取得的建设用地使用权转让，在符合法律法规规定和出让合同约定的前提下，应充分保障交易自由，原出让合同对转让条件另有约定的，从其约定。对于享受未利用地优惠政策减免土地出让金的，土地出让合同中应当明确土地使用权可以转让的条件，土地使用需达到一定的经济效益和社会效益，报经师市批准后方可转让；如未达</w:t>
      </w:r>
      <w:r w:rsidR="005055FF">
        <w:rPr>
          <w:rFonts w:eastAsia="仿宋_GB2312" w:hint="eastAsia"/>
          <w:sz w:val="32"/>
          <w:szCs w:val="32"/>
        </w:rPr>
        <w:t>到</w:t>
      </w:r>
      <w:r w:rsidRPr="00644512">
        <w:rPr>
          <w:rFonts w:eastAsia="仿宋_GB2312"/>
          <w:sz w:val="32"/>
          <w:szCs w:val="32"/>
        </w:rPr>
        <w:t>条件，报经师市批准后，应按当年度的土地评估价格补缴土地出让金后方可转让</w:t>
      </w:r>
      <w:r w:rsidRPr="00644512">
        <w:rPr>
          <w:rFonts w:eastAsia="仿宋_GB2312"/>
          <w:color w:val="343434"/>
          <w:sz w:val="32"/>
          <w:szCs w:val="32"/>
        </w:rPr>
        <w:t>。</w:t>
      </w:r>
    </w:p>
    <w:p w:rsidR="00222D9B" w:rsidRPr="00644512" w:rsidRDefault="00222D9B" w:rsidP="00222D9B">
      <w:pPr>
        <w:spacing w:line="560" w:lineRule="exact"/>
        <w:ind w:firstLineChars="200" w:firstLine="640"/>
        <w:rPr>
          <w:rFonts w:eastAsia="仿宋_GB2312"/>
          <w:sz w:val="32"/>
          <w:szCs w:val="32"/>
        </w:rPr>
      </w:pPr>
      <w:r w:rsidRPr="00644512">
        <w:rPr>
          <w:rFonts w:eastAsia="仿宋_GB2312"/>
          <w:sz w:val="32"/>
          <w:szCs w:val="32"/>
        </w:rPr>
        <w:t>3.</w:t>
      </w:r>
      <w:r w:rsidRPr="00644512">
        <w:rPr>
          <w:rFonts w:eastAsia="仿宋_GB2312"/>
          <w:sz w:val="32"/>
          <w:szCs w:val="32"/>
        </w:rPr>
        <w:t>以作价出资或入股方式取得的建设用地使用权转让，参照以出让方式取得的建设用地使用权转让有关规定，不再报经原批准建设用地使用权作价出资或入股的机关批准；转让后，可保留为作价出资或入股方式，或直接变更为出让方式。作价出资或入股土地使用权实行与出让土地使用权同权同价管理制度。</w:t>
      </w:r>
    </w:p>
    <w:p w:rsidR="00222D9B" w:rsidRPr="00644512" w:rsidRDefault="00222D9B" w:rsidP="00222D9B">
      <w:pPr>
        <w:spacing w:line="560" w:lineRule="exact"/>
        <w:ind w:firstLineChars="200" w:firstLine="640"/>
        <w:rPr>
          <w:rFonts w:eastAsia="仿宋_GB2312"/>
          <w:sz w:val="32"/>
          <w:szCs w:val="32"/>
        </w:rPr>
      </w:pPr>
      <w:r w:rsidRPr="00644512">
        <w:rPr>
          <w:rFonts w:eastAsia="楷体_GB2312"/>
          <w:sz w:val="32"/>
          <w:szCs w:val="32"/>
        </w:rPr>
        <w:t>（三）完善土地分割、合并转让政策。</w:t>
      </w:r>
      <w:r w:rsidRPr="00644512">
        <w:rPr>
          <w:rFonts w:eastAsia="仿宋_GB2312"/>
          <w:sz w:val="32"/>
          <w:szCs w:val="32"/>
        </w:rPr>
        <w:t>分割、合并后的地块应具备独立分宗条件，涉及公共配套设施建设和使用的，转让双</w:t>
      </w:r>
      <w:r w:rsidRPr="00644512">
        <w:rPr>
          <w:rFonts w:eastAsia="仿宋_GB2312"/>
          <w:sz w:val="32"/>
          <w:szCs w:val="32"/>
        </w:rPr>
        <w:lastRenderedPageBreak/>
        <w:t>方应在合同中明确有关权利义务。</w:t>
      </w:r>
      <w:r w:rsidRPr="00E67525">
        <w:rPr>
          <w:rFonts w:eastAsia="仿宋_GB2312"/>
          <w:color w:val="000000"/>
          <w:sz w:val="32"/>
          <w:szCs w:val="32"/>
        </w:rPr>
        <w:t>分割、合并后的宗地，应</w:t>
      </w:r>
      <w:r w:rsidRPr="00E67525">
        <w:rPr>
          <w:rFonts w:eastAsia="仿宋_GB2312" w:hint="eastAsia"/>
          <w:color w:val="000000"/>
          <w:sz w:val="32"/>
          <w:szCs w:val="32"/>
        </w:rPr>
        <w:t>依法依规</w:t>
      </w:r>
      <w:r w:rsidRPr="00E67525">
        <w:rPr>
          <w:rFonts w:eastAsia="仿宋_GB2312"/>
          <w:color w:val="000000"/>
          <w:sz w:val="32"/>
          <w:szCs w:val="32"/>
        </w:rPr>
        <w:t>重新出具规划设计条件，确定容积率等规划指标。涉</w:t>
      </w:r>
      <w:r w:rsidRPr="00644512">
        <w:rPr>
          <w:rFonts w:eastAsia="仿宋_GB2312"/>
          <w:sz w:val="32"/>
          <w:szCs w:val="32"/>
        </w:rPr>
        <w:t>及容积率调整的，应依照法定程序进行，并按规定补缴土地出让价款。</w:t>
      </w:r>
    </w:p>
    <w:p w:rsidR="00222D9B" w:rsidRPr="00644512" w:rsidRDefault="00222D9B" w:rsidP="00222D9B">
      <w:pPr>
        <w:spacing w:line="560" w:lineRule="exact"/>
        <w:ind w:firstLineChars="200" w:firstLine="640"/>
        <w:rPr>
          <w:rFonts w:eastAsia="仿宋_GB2312"/>
          <w:sz w:val="32"/>
          <w:szCs w:val="32"/>
        </w:rPr>
      </w:pPr>
      <w:r w:rsidRPr="00644512">
        <w:rPr>
          <w:rFonts w:eastAsia="仿宋_GB2312"/>
          <w:sz w:val="32"/>
          <w:szCs w:val="32"/>
        </w:rPr>
        <w:t>拟分割宗地已预售或存在多个权利主体的，应取得相关权利人同意，不得损害权利人合法权益。分割转让应当有利于土地开发利用，不得影响交通、消防、安全等控制性指标要求。</w:t>
      </w:r>
    </w:p>
    <w:p w:rsidR="00222D9B" w:rsidRPr="00644512" w:rsidRDefault="00222D9B" w:rsidP="00222D9B">
      <w:pPr>
        <w:spacing w:line="560" w:lineRule="exact"/>
        <w:ind w:firstLineChars="200" w:firstLine="640"/>
        <w:rPr>
          <w:rFonts w:eastAsia="仿宋_GB2312"/>
          <w:sz w:val="32"/>
          <w:szCs w:val="32"/>
        </w:rPr>
      </w:pPr>
      <w:r w:rsidRPr="00644512">
        <w:rPr>
          <w:rFonts w:eastAsia="仿宋_GB2312"/>
          <w:sz w:val="32"/>
          <w:szCs w:val="32"/>
        </w:rPr>
        <w:t>多宗地合并涉及划拨、出让、作价出资或入股等多种土地使用权类型的，应当统一办理为出让。其中，划拨土地需按土地市场价格补缴土地出让收入。涉及剩余出让年限不一致的，可按照</w:t>
      </w:r>
      <w:r w:rsidRPr="00644512">
        <w:rPr>
          <w:rFonts w:eastAsia="仿宋_GB2312"/>
          <w:sz w:val="32"/>
          <w:szCs w:val="32"/>
        </w:rPr>
        <w:t>“</w:t>
      </w:r>
      <w:r w:rsidRPr="00644512">
        <w:rPr>
          <w:rFonts w:eastAsia="仿宋_GB2312"/>
          <w:sz w:val="32"/>
          <w:szCs w:val="32"/>
        </w:rPr>
        <w:t>等价值原则</w:t>
      </w:r>
      <w:r w:rsidRPr="00644512">
        <w:rPr>
          <w:rFonts w:eastAsia="仿宋_GB2312"/>
          <w:sz w:val="32"/>
          <w:szCs w:val="32"/>
        </w:rPr>
        <w:t>”</w:t>
      </w:r>
      <w:r w:rsidRPr="00644512">
        <w:rPr>
          <w:rFonts w:eastAsia="仿宋_GB2312"/>
          <w:sz w:val="32"/>
          <w:szCs w:val="32"/>
        </w:rPr>
        <w:t>重新确定剩余土地出让年限，也可按较长年限补缴土地出让收入后登记。应缴纳的土地使用权出让收入金额</w:t>
      </w:r>
      <w:r w:rsidRPr="00644512">
        <w:rPr>
          <w:rFonts w:eastAsia="仿宋_GB2312"/>
          <w:sz w:val="32"/>
          <w:szCs w:val="32"/>
        </w:rPr>
        <w:t>=</w:t>
      </w:r>
      <w:r w:rsidRPr="00644512">
        <w:rPr>
          <w:rFonts w:eastAsia="仿宋_GB2312"/>
          <w:sz w:val="32"/>
          <w:szCs w:val="32"/>
        </w:rPr>
        <w:t>拟转让时合并宗地拟定剩余年期出让土地使用权市场价格</w:t>
      </w:r>
      <w:r w:rsidR="005055FF">
        <w:rPr>
          <w:rFonts w:eastAsia="仿宋_GB2312" w:hint="eastAsia"/>
          <w:sz w:val="32"/>
          <w:szCs w:val="32"/>
        </w:rPr>
        <w:t>-</w:t>
      </w:r>
      <w:r w:rsidRPr="00644512">
        <w:rPr>
          <w:rFonts w:eastAsia="仿宋_GB2312"/>
          <w:sz w:val="32"/>
          <w:szCs w:val="32"/>
        </w:rPr>
        <w:t>拟转让时各宗地实际剩余年期土地使用权市场价格（或划拨土地使用权权益价格）之和。</w:t>
      </w:r>
    </w:p>
    <w:p w:rsidR="00222D9B" w:rsidRPr="0012311C" w:rsidRDefault="00222D9B" w:rsidP="00222D9B">
      <w:pPr>
        <w:spacing w:line="560" w:lineRule="exact"/>
        <w:ind w:firstLineChars="200" w:firstLine="640"/>
        <w:rPr>
          <w:rFonts w:ascii="楷体_GB2312" w:eastAsia="楷体_GB2312"/>
          <w:sz w:val="32"/>
          <w:szCs w:val="32"/>
        </w:rPr>
      </w:pPr>
      <w:r w:rsidRPr="0012311C">
        <w:rPr>
          <w:rFonts w:ascii="楷体_GB2312" w:eastAsia="楷体_GB2312" w:hint="eastAsia"/>
          <w:sz w:val="32"/>
          <w:szCs w:val="32"/>
        </w:rPr>
        <w:t>（责任单位：各师市。配合单位：兵团自然资源局）</w:t>
      </w:r>
    </w:p>
    <w:p w:rsidR="00222D9B" w:rsidRPr="00644512" w:rsidRDefault="00222D9B" w:rsidP="00222D9B">
      <w:pPr>
        <w:spacing w:line="560" w:lineRule="exact"/>
        <w:ind w:firstLineChars="250" w:firstLine="800"/>
        <w:rPr>
          <w:rFonts w:eastAsia="黑体"/>
          <w:sz w:val="32"/>
          <w:szCs w:val="32"/>
        </w:rPr>
      </w:pPr>
      <w:r w:rsidRPr="00644512">
        <w:rPr>
          <w:rFonts w:eastAsia="黑体"/>
          <w:sz w:val="32"/>
          <w:szCs w:val="32"/>
        </w:rPr>
        <w:t>三、完善出租管理，提高服务水平</w:t>
      </w:r>
    </w:p>
    <w:p w:rsidR="00222D9B" w:rsidRPr="00644512" w:rsidRDefault="00222D9B" w:rsidP="00222D9B">
      <w:pPr>
        <w:spacing w:line="560" w:lineRule="exact"/>
        <w:ind w:firstLineChars="200" w:firstLine="640"/>
        <w:rPr>
          <w:rFonts w:eastAsia="仿宋_GB2312"/>
          <w:sz w:val="32"/>
          <w:szCs w:val="32"/>
        </w:rPr>
      </w:pPr>
      <w:r w:rsidRPr="00644512">
        <w:rPr>
          <w:rFonts w:eastAsia="楷体_GB2312"/>
          <w:sz w:val="32"/>
          <w:szCs w:val="32"/>
        </w:rPr>
        <w:t>（一）规范以有偿方式取得的建设用地使用权出租管理。</w:t>
      </w:r>
      <w:r w:rsidRPr="00644512">
        <w:rPr>
          <w:rFonts w:eastAsia="仿宋_GB2312"/>
          <w:sz w:val="32"/>
          <w:szCs w:val="32"/>
        </w:rPr>
        <w:t>以出让、租赁、作价出资或入股等有偿方式取得的建设用地使用权出租或转租的，不得违反法律法规和有偿使用合同的相关约定。师市自然资源部门制定出租合同文本，提供交易鉴证服务，保障权利人的合法权益。对</w:t>
      </w:r>
      <w:r w:rsidRPr="00E67525">
        <w:rPr>
          <w:rFonts w:eastAsia="仿宋_GB2312"/>
          <w:color w:val="000000"/>
          <w:sz w:val="32"/>
          <w:szCs w:val="32"/>
        </w:rPr>
        <w:t>于享受未利用地优惠政策减免土地出让金的，</w:t>
      </w:r>
      <w:r w:rsidRPr="00BC5B20">
        <w:rPr>
          <w:rFonts w:eastAsia="仿宋_GB2312"/>
          <w:sz w:val="32"/>
          <w:szCs w:val="32"/>
        </w:rPr>
        <w:t>参照</w:t>
      </w:r>
      <w:r w:rsidRPr="00BC5B20">
        <w:rPr>
          <w:rFonts w:eastAsia="仿宋_GB2312" w:hint="eastAsia"/>
          <w:sz w:val="32"/>
          <w:szCs w:val="32"/>
        </w:rPr>
        <w:t>以出让方式取得的建设用地使用权转让</w:t>
      </w:r>
      <w:r w:rsidRPr="00BC5B20">
        <w:rPr>
          <w:rFonts w:eastAsia="仿宋_GB2312"/>
          <w:sz w:val="32"/>
          <w:szCs w:val="32"/>
        </w:rPr>
        <w:t>规定执行。</w:t>
      </w:r>
    </w:p>
    <w:p w:rsidR="00222D9B" w:rsidRDefault="00222D9B" w:rsidP="00222D9B">
      <w:pPr>
        <w:spacing w:line="560" w:lineRule="exact"/>
        <w:ind w:firstLineChars="200" w:firstLine="640"/>
        <w:rPr>
          <w:rFonts w:eastAsia="仿宋_GB2312"/>
          <w:sz w:val="32"/>
          <w:szCs w:val="32"/>
        </w:rPr>
      </w:pPr>
      <w:r w:rsidRPr="00644512">
        <w:rPr>
          <w:rFonts w:eastAsia="楷体_GB2312"/>
          <w:sz w:val="32"/>
          <w:szCs w:val="32"/>
        </w:rPr>
        <w:lastRenderedPageBreak/>
        <w:t>（二）规范划拨建设用地使用权出租管理。</w:t>
      </w:r>
      <w:r w:rsidRPr="00644512">
        <w:rPr>
          <w:rFonts w:eastAsia="仿宋_GB2312"/>
          <w:sz w:val="32"/>
          <w:szCs w:val="32"/>
        </w:rPr>
        <w:t>以划拨方式取得的建设用地使用权出租的，应按照有关规定上缴租金中所含土地收益，纳入土地出让收入管理。</w:t>
      </w:r>
      <w:r w:rsidRPr="00E67525">
        <w:rPr>
          <w:rFonts w:eastAsia="仿宋_GB2312"/>
          <w:color w:val="000000"/>
          <w:sz w:val="32"/>
          <w:szCs w:val="32"/>
        </w:rPr>
        <w:t>土地收益具体标准由各师市根据土地等级、用途等因素确定。</w:t>
      </w:r>
      <w:r w:rsidRPr="00E67525">
        <w:rPr>
          <w:rFonts w:eastAsia="仿宋_GB2312" w:hint="eastAsia"/>
          <w:color w:val="000000"/>
          <w:sz w:val="32"/>
          <w:szCs w:val="32"/>
        </w:rPr>
        <w:t>实行出租收益年度申报制度，</w:t>
      </w:r>
      <w:r w:rsidRPr="00E67525">
        <w:rPr>
          <w:rFonts w:eastAsia="仿宋_GB2312"/>
          <w:color w:val="000000"/>
          <w:sz w:val="32"/>
          <w:szCs w:val="32"/>
        </w:rPr>
        <w:t>出</w:t>
      </w:r>
      <w:r w:rsidRPr="00644512">
        <w:rPr>
          <w:rFonts w:eastAsia="仿宋_GB2312"/>
          <w:sz w:val="32"/>
          <w:szCs w:val="32"/>
        </w:rPr>
        <w:t>租人依法申报缴纳相关收益的，视为师市已批准，不再另行单独办理划拨建设用地使用权出租的批准手续。宗地长期出租，或部分用于出租且可分割的，应依法补办出让、租赁等有偿使用手续。</w:t>
      </w:r>
    </w:p>
    <w:p w:rsidR="00222D9B" w:rsidRPr="0012311C" w:rsidRDefault="00222D9B" w:rsidP="00222D9B">
      <w:pPr>
        <w:spacing w:line="560" w:lineRule="exact"/>
        <w:ind w:firstLineChars="200" w:firstLine="640"/>
        <w:rPr>
          <w:rFonts w:ascii="楷体_GB2312" w:eastAsia="楷体_GB2312"/>
          <w:sz w:val="32"/>
          <w:szCs w:val="32"/>
        </w:rPr>
      </w:pPr>
      <w:r w:rsidRPr="0012311C">
        <w:rPr>
          <w:rFonts w:ascii="楷体_GB2312" w:eastAsia="楷体_GB2312" w:hint="eastAsia"/>
          <w:sz w:val="32"/>
          <w:szCs w:val="32"/>
        </w:rPr>
        <w:t>（责任单位：各师市。配合单位：兵团自然资源局）</w:t>
      </w:r>
    </w:p>
    <w:p w:rsidR="00222D9B" w:rsidRPr="00644512" w:rsidRDefault="00222D9B" w:rsidP="00222D9B">
      <w:pPr>
        <w:spacing w:line="560" w:lineRule="exact"/>
        <w:ind w:firstLineChars="200" w:firstLine="640"/>
        <w:rPr>
          <w:rFonts w:eastAsia="仿宋_GB2312"/>
          <w:sz w:val="32"/>
          <w:szCs w:val="32"/>
        </w:rPr>
      </w:pPr>
      <w:r w:rsidRPr="00644512">
        <w:rPr>
          <w:rFonts w:eastAsia="黑体"/>
          <w:sz w:val="32"/>
          <w:szCs w:val="32"/>
        </w:rPr>
        <w:t>四</w:t>
      </w:r>
      <w:r w:rsidRPr="00644512">
        <w:rPr>
          <w:rFonts w:eastAsia="仿宋_GB2312"/>
          <w:b/>
          <w:sz w:val="32"/>
          <w:szCs w:val="32"/>
        </w:rPr>
        <w:t>、</w:t>
      </w:r>
      <w:r w:rsidRPr="00644512">
        <w:rPr>
          <w:rFonts w:eastAsia="黑体"/>
          <w:sz w:val="32"/>
          <w:szCs w:val="32"/>
        </w:rPr>
        <w:t>完善抵押机制，保障合法权益</w:t>
      </w:r>
    </w:p>
    <w:p w:rsidR="00222D9B" w:rsidRPr="00644512" w:rsidRDefault="00222D9B" w:rsidP="00222D9B">
      <w:pPr>
        <w:spacing w:line="560" w:lineRule="exact"/>
        <w:ind w:firstLineChars="200" w:firstLine="640"/>
        <w:rPr>
          <w:rFonts w:eastAsia="仿宋_GB2312"/>
          <w:sz w:val="32"/>
          <w:szCs w:val="32"/>
        </w:rPr>
      </w:pPr>
      <w:r w:rsidRPr="00644512">
        <w:rPr>
          <w:rFonts w:eastAsia="楷体_GB2312"/>
          <w:sz w:val="32"/>
          <w:szCs w:val="32"/>
        </w:rPr>
        <w:t>（一）明确不同权能建设用地使用权抵押的条件。</w:t>
      </w:r>
      <w:r w:rsidRPr="00644512">
        <w:rPr>
          <w:rFonts w:eastAsia="仿宋_GB2312"/>
          <w:sz w:val="32"/>
          <w:szCs w:val="32"/>
        </w:rPr>
        <w:t>公司、企业、其他经济组织和个人等以划拨方式取得的建设用地使用权，取得土地、地上建筑物、其他附着物合法产权证明的，可以依法依规设立抵押权，其抵押价值应根据划拨土地权益价格计算，根据《划拨国有建设用地使用权地价评估指导意见（试行）》有关规定进行科学合理评估。划拨国有建设用地使用权抵押权实现时应优先缴纳土地出让收入。</w:t>
      </w:r>
      <w:r w:rsidRPr="00BC5B20">
        <w:rPr>
          <w:rFonts w:eastAsia="仿宋_GB2312"/>
          <w:sz w:val="32"/>
          <w:szCs w:val="32"/>
        </w:rPr>
        <w:t>行政机关、事业单位以划拨方式取得的建设用地使用权，依据《物权法》《担保法》</w:t>
      </w:r>
      <w:r w:rsidRPr="00BC5B20">
        <w:rPr>
          <w:rFonts w:eastAsia="仿宋_GB2312" w:hint="eastAsia"/>
          <w:sz w:val="32"/>
          <w:szCs w:val="32"/>
        </w:rPr>
        <w:t>《城镇国有土地使用权出让和转让暂行条例》</w:t>
      </w:r>
      <w:r w:rsidRPr="00BC5B20">
        <w:rPr>
          <w:rFonts w:eastAsia="仿宋_GB2312"/>
          <w:sz w:val="32"/>
          <w:szCs w:val="32"/>
        </w:rPr>
        <w:t>等法律法规以及国务院关于地方政府债务的有关规定</w:t>
      </w:r>
      <w:r>
        <w:rPr>
          <w:rFonts w:eastAsia="仿宋_GB2312" w:hint="eastAsia"/>
          <w:sz w:val="32"/>
          <w:szCs w:val="32"/>
        </w:rPr>
        <w:t>执行</w:t>
      </w:r>
      <w:r w:rsidRPr="00BC5B20">
        <w:rPr>
          <w:rFonts w:eastAsia="仿宋_GB2312"/>
          <w:sz w:val="32"/>
          <w:szCs w:val="32"/>
        </w:rPr>
        <w:t>。</w:t>
      </w:r>
    </w:p>
    <w:p w:rsidR="00222D9B" w:rsidRPr="00644512" w:rsidRDefault="00222D9B" w:rsidP="00222D9B">
      <w:pPr>
        <w:spacing w:line="560" w:lineRule="exact"/>
        <w:ind w:firstLineChars="200" w:firstLine="640"/>
        <w:rPr>
          <w:rFonts w:eastAsia="仿宋_GB2312"/>
          <w:sz w:val="32"/>
          <w:szCs w:val="32"/>
        </w:rPr>
      </w:pPr>
      <w:r w:rsidRPr="00644512">
        <w:rPr>
          <w:rFonts w:eastAsia="仿宋_GB2312"/>
          <w:sz w:val="32"/>
          <w:szCs w:val="32"/>
        </w:rPr>
        <w:t>以出让、作价出资或入股等方式取得的建设用地使用权可以设定抵押权，合同有特别约定等情形的除外。单独以国有建设用地使用权设定抵押登记的或在建工程办理抵押登记的，工程竣工</w:t>
      </w:r>
      <w:r w:rsidRPr="00644512">
        <w:rPr>
          <w:rFonts w:eastAsia="仿宋_GB2312"/>
          <w:sz w:val="32"/>
          <w:szCs w:val="32"/>
        </w:rPr>
        <w:lastRenderedPageBreak/>
        <w:t>后，不动产权利人应当申请将建设工程和国有建设用地使用权一并转为不动产权抵押登记。已竣工的房地产开发用地不得整宗设定抵押权，开发企业可以将依法登记的房屋所有权连同分摊土地使用权设定抵押。</w:t>
      </w:r>
    </w:p>
    <w:p w:rsidR="00222D9B" w:rsidRPr="00644512" w:rsidRDefault="00222D9B" w:rsidP="00222D9B">
      <w:pPr>
        <w:spacing w:line="560" w:lineRule="exact"/>
        <w:ind w:firstLineChars="200" w:firstLine="640"/>
        <w:rPr>
          <w:rFonts w:eastAsia="仿宋_GB2312"/>
          <w:sz w:val="32"/>
          <w:szCs w:val="32"/>
        </w:rPr>
      </w:pPr>
      <w:r w:rsidRPr="00644512">
        <w:rPr>
          <w:rFonts w:eastAsia="仿宋_GB2312"/>
          <w:sz w:val="32"/>
          <w:szCs w:val="32"/>
        </w:rPr>
        <w:t>以租赁方式取得的建设用地使用权，承租人在按规定支付土地租金并完成开发建设后，根据租赁合同约定，其地上建筑物、其他附着物连同土地可以依法一并抵押。</w:t>
      </w:r>
    </w:p>
    <w:p w:rsidR="00222D9B" w:rsidRPr="00644512" w:rsidRDefault="00222D9B" w:rsidP="00222D9B">
      <w:pPr>
        <w:spacing w:line="560" w:lineRule="exact"/>
        <w:ind w:firstLineChars="200" w:firstLine="640"/>
        <w:rPr>
          <w:rFonts w:eastAsia="仿宋_GB2312"/>
          <w:sz w:val="32"/>
          <w:szCs w:val="32"/>
        </w:rPr>
      </w:pPr>
      <w:r w:rsidRPr="00644512">
        <w:rPr>
          <w:rFonts w:eastAsia="仿宋_GB2312"/>
          <w:sz w:val="32"/>
          <w:szCs w:val="32"/>
        </w:rPr>
        <w:t>国有建设用地使用权分割抵押的，原则上应当由当事人先行办理产权分割登记，但以房屋所有权进行抵押，所分摊的土地使用权随之抵押的除外。</w:t>
      </w:r>
    </w:p>
    <w:p w:rsidR="00222D9B" w:rsidRPr="00644512" w:rsidRDefault="00222D9B" w:rsidP="00222D9B">
      <w:pPr>
        <w:spacing w:line="560" w:lineRule="exact"/>
        <w:ind w:firstLineChars="150" w:firstLine="480"/>
        <w:rPr>
          <w:rFonts w:eastAsia="楷体_GB2312"/>
          <w:sz w:val="32"/>
          <w:szCs w:val="32"/>
        </w:rPr>
      </w:pPr>
      <w:r w:rsidRPr="00644512">
        <w:rPr>
          <w:rFonts w:eastAsia="楷体_GB2312"/>
          <w:sz w:val="32"/>
          <w:szCs w:val="32"/>
        </w:rPr>
        <w:t>（二）放宽抵押权人和抵押物限制</w:t>
      </w:r>
    </w:p>
    <w:p w:rsidR="00222D9B" w:rsidRPr="00644512" w:rsidRDefault="00222D9B" w:rsidP="00222D9B">
      <w:pPr>
        <w:spacing w:line="560" w:lineRule="exact"/>
        <w:ind w:firstLineChars="200" w:firstLine="640"/>
        <w:rPr>
          <w:rFonts w:eastAsia="仿宋_GB2312"/>
          <w:sz w:val="32"/>
          <w:szCs w:val="32"/>
        </w:rPr>
      </w:pPr>
      <w:r w:rsidRPr="00644512">
        <w:rPr>
          <w:rFonts w:eastAsia="仿宋_GB2312"/>
          <w:sz w:val="32"/>
          <w:szCs w:val="32"/>
        </w:rPr>
        <w:t>自然人、企业均可作为抵押权人申请以建设用地使用权及其地上建筑物、其他附着物所有权办理不动产抵押相关手续，涉及企业之间债权债务合同的须符合有关法律法规的规定。允许探索不以公益为目的的养老、医疗、教育等社会领域企业以有偿取得的建设用地使用权、设施等财产进行抵押融资。各师市要进一步完善抵押权实现后保障原有经营活动持续稳定的配套措施，确保土地用途不改变、利益相关人权益不受损。探索建立建设用地使用权抵押风险提示和抵押资金监管机制，防控市场风险。</w:t>
      </w:r>
    </w:p>
    <w:p w:rsidR="00222D9B" w:rsidRPr="0012311C" w:rsidRDefault="00222D9B" w:rsidP="00222D9B">
      <w:pPr>
        <w:spacing w:line="560" w:lineRule="exact"/>
        <w:ind w:firstLineChars="200" w:firstLine="640"/>
        <w:rPr>
          <w:rFonts w:ascii="楷体_GB2312" w:eastAsia="楷体_GB2312"/>
          <w:sz w:val="32"/>
          <w:szCs w:val="32"/>
        </w:rPr>
      </w:pPr>
      <w:r w:rsidRPr="0012311C">
        <w:rPr>
          <w:rFonts w:ascii="楷体_GB2312" w:eastAsia="楷体_GB2312" w:hint="eastAsia"/>
          <w:sz w:val="32"/>
          <w:szCs w:val="32"/>
        </w:rPr>
        <w:t>（责任单位：各师市。配合单位：兵团自然资源局、住房和城乡建设局</w:t>
      </w:r>
      <w:r w:rsidRPr="0012311C">
        <w:rPr>
          <w:rFonts w:ascii="楷体_GB2312" w:eastAsia="楷体_GB2312" w:hint="eastAsia"/>
          <w:color w:val="000000"/>
          <w:sz w:val="32"/>
          <w:szCs w:val="32"/>
        </w:rPr>
        <w:t>、中国人民银行乌鲁木齐中心支行、中国银保监会新疆监管局</w:t>
      </w:r>
      <w:r w:rsidRPr="0012311C">
        <w:rPr>
          <w:rFonts w:ascii="楷体_GB2312" w:eastAsia="楷体_GB2312" w:hint="eastAsia"/>
          <w:sz w:val="32"/>
          <w:szCs w:val="32"/>
        </w:rPr>
        <w:t>）</w:t>
      </w:r>
    </w:p>
    <w:p w:rsidR="00222D9B" w:rsidRPr="00644512" w:rsidRDefault="00222D9B" w:rsidP="00222D9B">
      <w:pPr>
        <w:spacing w:line="560" w:lineRule="exact"/>
        <w:ind w:firstLineChars="200" w:firstLine="640"/>
        <w:rPr>
          <w:rFonts w:eastAsia="仿宋_GB2312"/>
          <w:sz w:val="32"/>
          <w:szCs w:val="32"/>
        </w:rPr>
      </w:pPr>
      <w:r w:rsidRPr="00644512">
        <w:rPr>
          <w:rFonts w:eastAsia="黑体"/>
          <w:sz w:val="32"/>
          <w:szCs w:val="32"/>
        </w:rPr>
        <w:lastRenderedPageBreak/>
        <w:t>五、规范运行模式和市场秩序</w:t>
      </w:r>
    </w:p>
    <w:p w:rsidR="00222D9B" w:rsidRPr="00E3026A" w:rsidRDefault="00222D9B" w:rsidP="00222D9B">
      <w:pPr>
        <w:spacing w:line="560" w:lineRule="exact"/>
        <w:ind w:firstLineChars="150" w:firstLine="480"/>
        <w:rPr>
          <w:rFonts w:eastAsia="仿宋_GB2312"/>
          <w:sz w:val="32"/>
          <w:szCs w:val="32"/>
        </w:rPr>
      </w:pPr>
      <w:r w:rsidRPr="00E3026A">
        <w:rPr>
          <w:rFonts w:eastAsia="楷体_GB2312"/>
          <w:sz w:val="32"/>
          <w:szCs w:val="32"/>
        </w:rPr>
        <w:t>（一）建立土地二级市场</w:t>
      </w:r>
      <w:r w:rsidRPr="00E3026A">
        <w:rPr>
          <w:rFonts w:eastAsia="楷体_GB2312"/>
          <w:sz w:val="32"/>
          <w:szCs w:val="32"/>
        </w:rPr>
        <w:t>“</w:t>
      </w:r>
      <w:r w:rsidRPr="00E3026A">
        <w:rPr>
          <w:rFonts w:eastAsia="楷体_GB2312"/>
          <w:sz w:val="32"/>
          <w:szCs w:val="32"/>
        </w:rPr>
        <w:t>线上</w:t>
      </w:r>
      <w:r w:rsidRPr="00E3026A">
        <w:rPr>
          <w:rFonts w:eastAsia="楷体_GB2312"/>
          <w:sz w:val="32"/>
          <w:szCs w:val="32"/>
        </w:rPr>
        <w:t>+</w:t>
      </w:r>
      <w:r w:rsidRPr="00E3026A">
        <w:rPr>
          <w:rFonts w:eastAsia="楷体_GB2312"/>
          <w:sz w:val="32"/>
          <w:szCs w:val="32"/>
        </w:rPr>
        <w:t>线下</w:t>
      </w:r>
      <w:r w:rsidRPr="00E3026A">
        <w:rPr>
          <w:rFonts w:eastAsia="楷体_GB2312"/>
          <w:sz w:val="32"/>
          <w:szCs w:val="32"/>
        </w:rPr>
        <w:t>”</w:t>
      </w:r>
      <w:r w:rsidRPr="00E3026A">
        <w:rPr>
          <w:rFonts w:eastAsia="楷体_GB2312"/>
          <w:sz w:val="32"/>
          <w:szCs w:val="32"/>
        </w:rPr>
        <w:t>交易平台。</w:t>
      </w:r>
      <w:r w:rsidRPr="00E3026A">
        <w:rPr>
          <w:rFonts w:eastAsia="仿宋_GB2312"/>
          <w:sz w:val="32"/>
          <w:szCs w:val="32"/>
        </w:rPr>
        <w:t>大力推进土地交易市场和信息系统建设，</w:t>
      </w:r>
      <w:r w:rsidRPr="00E3026A">
        <w:rPr>
          <w:rFonts w:eastAsia="仿宋_GB2312" w:hint="eastAsia"/>
          <w:sz w:val="32"/>
          <w:szCs w:val="32"/>
        </w:rPr>
        <w:t>将土地二级市场交易纳入《兵团公共资源交易目录》范围内，依托兵师两级“一张网”的兵团公共资源交易“一体化”平台</w:t>
      </w:r>
      <w:r w:rsidRPr="00E3026A">
        <w:rPr>
          <w:rFonts w:eastAsia="仿宋_GB2312"/>
          <w:sz w:val="32"/>
          <w:szCs w:val="32"/>
        </w:rPr>
        <w:t>搭建土地二级市场</w:t>
      </w:r>
      <w:r w:rsidRPr="00E3026A">
        <w:rPr>
          <w:rFonts w:eastAsia="仿宋_GB2312"/>
          <w:sz w:val="32"/>
          <w:szCs w:val="32"/>
        </w:rPr>
        <w:t>“</w:t>
      </w:r>
      <w:r w:rsidRPr="00E3026A">
        <w:rPr>
          <w:rFonts w:eastAsia="仿宋_GB2312"/>
          <w:sz w:val="32"/>
          <w:szCs w:val="32"/>
        </w:rPr>
        <w:t>线上</w:t>
      </w:r>
      <w:r w:rsidRPr="00E3026A">
        <w:rPr>
          <w:rFonts w:eastAsia="仿宋_GB2312"/>
          <w:sz w:val="32"/>
          <w:szCs w:val="32"/>
        </w:rPr>
        <w:t>+</w:t>
      </w:r>
      <w:r w:rsidRPr="00E3026A">
        <w:rPr>
          <w:rFonts w:eastAsia="仿宋_GB2312"/>
          <w:sz w:val="32"/>
          <w:szCs w:val="32"/>
        </w:rPr>
        <w:t>线下</w:t>
      </w:r>
      <w:r w:rsidRPr="00E3026A">
        <w:rPr>
          <w:rFonts w:eastAsia="仿宋_GB2312"/>
          <w:sz w:val="32"/>
          <w:szCs w:val="32"/>
        </w:rPr>
        <w:t>”</w:t>
      </w:r>
      <w:r w:rsidRPr="00E3026A">
        <w:rPr>
          <w:rFonts w:eastAsia="仿宋_GB2312"/>
          <w:sz w:val="32"/>
          <w:szCs w:val="32"/>
        </w:rPr>
        <w:t>交易平台，</w:t>
      </w:r>
      <w:r w:rsidRPr="00E3026A">
        <w:rPr>
          <w:rFonts w:eastAsia="仿宋_GB2312" w:hint="eastAsia"/>
          <w:sz w:val="32"/>
          <w:szCs w:val="32"/>
        </w:rPr>
        <w:t>汇集交易、登记、税务、金融等相关部门平台，实现数据共享。</w:t>
      </w:r>
      <w:r w:rsidRPr="00E3026A">
        <w:rPr>
          <w:rFonts w:eastAsia="仿宋_GB2312"/>
          <w:sz w:val="32"/>
          <w:szCs w:val="32"/>
        </w:rPr>
        <w:t>2021</w:t>
      </w:r>
      <w:r w:rsidRPr="00E3026A">
        <w:rPr>
          <w:rFonts w:eastAsia="仿宋_GB2312"/>
          <w:sz w:val="32"/>
          <w:szCs w:val="32"/>
        </w:rPr>
        <w:t>年底前，</w:t>
      </w:r>
      <w:r w:rsidRPr="00E3026A">
        <w:rPr>
          <w:rFonts w:eastAsia="仿宋_GB2312" w:hint="eastAsia"/>
          <w:sz w:val="32"/>
          <w:szCs w:val="32"/>
        </w:rPr>
        <w:t>兵团</w:t>
      </w:r>
      <w:r w:rsidRPr="00E3026A">
        <w:rPr>
          <w:rFonts w:eastAsia="仿宋_GB2312"/>
          <w:sz w:val="32"/>
          <w:szCs w:val="32"/>
        </w:rPr>
        <w:t>基本完成土地二级市场交易平台建立。</w:t>
      </w:r>
    </w:p>
    <w:p w:rsidR="00222D9B" w:rsidRPr="0012311C" w:rsidRDefault="00222D9B" w:rsidP="00222D9B">
      <w:pPr>
        <w:spacing w:line="560" w:lineRule="exact"/>
        <w:ind w:firstLineChars="150" w:firstLine="480"/>
        <w:rPr>
          <w:rFonts w:ascii="楷体_GB2312" w:eastAsia="楷体_GB2312"/>
          <w:sz w:val="32"/>
          <w:szCs w:val="32"/>
        </w:rPr>
      </w:pPr>
      <w:r w:rsidRPr="0012311C">
        <w:rPr>
          <w:rFonts w:ascii="楷体_GB2312" w:eastAsia="楷体_GB2312" w:hint="eastAsia"/>
          <w:sz w:val="32"/>
          <w:szCs w:val="32"/>
        </w:rPr>
        <w:t>（责任单位：兵团公共资源交易中心（行政服务中心）。配合单位：各师市，兵团财政局、自然资源局、兵团地方金融监督管理局、中国人民银行乌鲁木齐中心支行、中国银保监会新疆监管局）</w:t>
      </w:r>
    </w:p>
    <w:p w:rsidR="00222D9B" w:rsidRPr="001B2F89" w:rsidRDefault="00222D9B" w:rsidP="00222D9B">
      <w:pPr>
        <w:spacing w:line="560" w:lineRule="exact"/>
        <w:ind w:firstLineChars="150" w:firstLine="480"/>
        <w:rPr>
          <w:rFonts w:eastAsia="仿宋_GB2312"/>
          <w:sz w:val="32"/>
          <w:szCs w:val="32"/>
        </w:rPr>
      </w:pPr>
      <w:r w:rsidRPr="001B2F89">
        <w:rPr>
          <w:rFonts w:eastAsia="楷体_GB2312"/>
          <w:sz w:val="32"/>
          <w:szCs w:val="32"/>
        </w:rPr>
        <w:t>（二）规范交易流程。</w:t>
      </w:r>
      <w:r w:rsidRPr="001B2F89">
        <w:rPr>
          <w:rFonts w:eastAsia="仿宋_GB2312"/>
          <w:sz w:val="32"/>
          <w:szCs w:val="32"/>
        </w:rPr>
        <w:t>建立</w:t>
      </w:r>
      <w:r w:rsidRPr="001B2F89">
        <w:rPr>
          <w:rFonts w:eastAsia="仿宋_GB2312"/>
          <w:sz w:val="32"/>
          <w:szCs w:val="32"/>
        </w:rPr>
        <w:t>“</w:t>
      </w:r>
      <w:r w:rsidRPr="001B2F89">
        <w:rPr>
          <w:rFonts w:eastAsia="仿宋_GB2312"/>
          <w:sz w:val="32"/>
          <w:szCs w:val="32"/>
        </w:rPr>
        <w:t>信息发布</w:t>
      </w:r>
      <w:r w:rsidRPr="001B2F89">
        <w:rPr>
          <w:rFonts w:eastAsia="仿宋_GB2312"/>
          <w:sz w:val="32"/>
          <w:szCs w:val="32"/>
        </w:rPr>
        <w:t>—</w:t>
      </w:r>
      <w:r w:rsidRPr="001B2F89">
        <w:rPr>
          <w:rFonts w:eastAsia="仿宋_GB2312"/>
          <w:sz w:val="32"/>
          <w:szCs w:val="32"/>
        </w:rPr>
        <w:t>达成意向</w:t>
      </w:r>
      <w:r w:rsidRPr="001B2F89">
        <w:rPr>
          <w:rFonts w:eastAsia="仿宋_GB2312"/>
          <w:sz w:val="32"/>
          <w:szCs w:val="32"/>
        </w:rPr>
        <w:t>—</w:t>
      </w:r>
      <w:r w:rsidRPr="001B2F89">
        <w:rPr>
          <w:rFonts w:eastAsia="仿宋_GB2312"/>
          <w:sz w:val="32"/>
          <w:szCs w:val="32"/>
        </w:rPr>
        <w:t>签订合同</w:t>
      </w:r>
      <w:r w:rsidRPr="001B2F89">
        <w:rPr>
          <w:rFonts w:eastAsia="仿宋_GB2312"/>
          <w:sz w:val="32"/>
          <w:szCs w:val="32"/>
        </w:rPr>
        <w:t>—</w:t>
      </w:r>
      <w:r w:rsidRPr="001B2F89">
        <w:rPr>
          <w:rFonts w:eastAsia="仿宋_GB2312"/>
          <w:sz w:val="32"/>
          <w:szCs w:val="32"/>
        </w:rPr>
        <w:t>交易监管</w:t>
      </w:r>
      <w:r w:rsidRPr="001B2F89">
        <w:rPr>
          <w:rFonts w:eastAsia="仿宋_GB2312"/>
          <w:sz w:val="32"/>
          <w:szCs w:val="32"/>
        </w:rPr>
        <w:t>”</w:t>
      </w:r>
      <w:r w:rsidRPr="001B2F89">
        <w:rPr>
          <w:rFonts w:eastAsia="仿宋_GB2312"/>
          <w:sz w:val="32"/>
          <w:szCs w:val="32"/>
        </w:rPr>
        <w:t>的交易流程。交易双方可通过土地二级市场交易平台等渠道发布和获取市场信息；可自行协商交易，也可委托土地二级市场交易平台公开交易；达成一致后签订合同，依法申报交易价格，申报价格比标定地价低</w:t>
      </w:r>
      <w:r w:rsidRPr="001B2F89">
        <w:rPr>
          <w:rFonts w:eastAsia="仿宋_GB2312"/>
          <w:sz w:val="32"/>
          <w:szCs w:val="32"/>
        </w:rPr>
        <w:t>20%</w:t>
      </w:r>
      <w:r w:rsidRPr="001B2F89">
        <w:rPr>
          <w:rFonts w:eastAsia="仿宋_GB2312"/>
          <w:sz w:val="32"/>
          <w:szCs w:val="32"/>
        </w:rPr>
        <w:t>以上的，师市可行使优先购买权。各师市要加强交易事中事后监管，对违反有关法律法规或不符合出让合同约定、划拨决定书规定的，不予办理相关手续。</w:t>
      </w:r>
    </w:p>
    <w:p w:rsidR="00222D9B" w:rsidRPr="0012311C" w:rsidRDefault="00222D9B" w:rsidP="00222D9B">
      <w:pPr>
        <w:spacing w:line="560" w:lineRule="exact"/>
        <w:ind w:firstLineChars="150" w:firstLine="480"/>
        <w:rPr>
          <w:rFonts w:ascii="楷体_GB2312" w:eastAsia="楷体_GB2312"/>
          <w:sz w:val="32"/>
          <w:szCs w:val="32"/>
        </w:rPr>
      </w:pPr>
      <w:r w:rsidRPr="0012311C">
        <w:rPr>
          <w:rFonts w:ascii="楷体_GB2312" w:eastAsia="楷体_GB2312" w:hint="eastAsia"/>
          <w:sz w:val="32"/>
          <w:szCs w:val="32"/>
        </w:rPr>
        <w:t>（责任单位：各师市。配合单位：兵团自然资源局、公共资源交易中心（行政服务中心））</w:t>
      </w:r>
    </w:p>
    <w:p w:rsidR="00222D9B" w:rsidRPr="00644512" w:rsidRDefault="00222D9B" w:rsidP="00222D9B">
      <w:pPr>
        <w:spacing w:line="560" w:lineRule="exact"/>
        <w:ind w:firstLineChars="250" w:firstLine="800"/>
        <w:rPr>
          <w:rFonts w:eastAsia="黑体"/>
          <w:sz w:val="32"/>
          <w:szCs w:val="32"/>
        </w:rPr>
      </w:pPr>
      <w:r w:rsidRPr="00644512">
        <w:rPr>
          <w:rFonts w:eastAsia="黑体"/>
          <w:sz w:val="32"/>
          <w:szCs w:val="32"/>
        </w:rPr>
        <w:t>六、健全服务体系，加强监管</w:t>
      </w:r>
    </w:p>
    <w:p w:rsidR="00222D9B" w:rsidRDefault="00222D9B" w:rsidP="00222D9B">
      <w:pPr>
        <w:spacing w:line="560" w:lineRule="exact"/>
        <w:ind w:firstLineChars="200" w:firstLine="640"/>
        <w:rPr>
          <w:rFonts w:eastAsia="仿宋_GB2312"/>
          <w:sz w:val="32"/>
          <w:szCs w:val="32"/>
        </w:rPr>
      </w:pPr>
      <w:r w:rsidRPr="00644512">
        <w:rPr>
          <w:rFonts w:eastAsia="楷体_GB2312"/>
          <w:sz w:val="32"/>
          <w:szCs w:val="32"/>
        </w:rPr>
        <w:t>（一）加强市场监测监管与调控。</w:t>
      </w:r>
      <w:r w:rsidRPr="00644512">
        <w:rPr>
          <w:rFonts w:eastAsia="仿宋_GB2312"/>
          <w:sz w:val="32"/>
          <w:szCs w:val="32"/>
        </w:rPr>
        <w:t>各师市要健全土地二级市</w:t>
      </w:r>
      <w:r w:rsidRPr="00644512">
        <w:rPr>
          <w:rFonts w:eastAsia="仿宋_GB2312"/>
          <w:sz w:val="32"/>
          <w:szCs w:val="32"/>
        </w:rPr>
        <w:lastRenderedPageBreak/>
        <w:t>场动态监测监管制度，严格落实公示地价体系，定期更新和发布基准地价或标定地价，坚决防止交易价格异常波动。土地转让涉及房地产开发的相关资金来源应符合房地产开发企业购地和融资的相关规定。强化土地一、二级市场联动，加强土地投放总量、结构、时序等的衔接，适时运用财税、金融等手段，加强对土地市场的整体调控，维护市场平稳运行。</w:t>
      </w:r>
    </w:p>
    <w:p w:rsidR="00222D9B" w:rsidRPr="0012311C" w:rsidRDefault="00222D9B" w:rsidP="00222D9B">
      <w:pPr>
        <w:spacing w:line="560" w:lineRule="exact"/>
        <w:ind w:firstLineChars="200" w:firstLine="640"/>
        <w:rPr>
          <w:rFonts w:ascii="楷体_GB2312" w:eastAsia="楷体_GB2312"/>
          <w:sz w:val="32"/>
          <w:szCs w:val="32"/>
        </w:rPr>
      </w:pPr>
      <w:r w:rsidRPr="0012311C">
        <w:rPr>
          <w:rFonts w:ascii="楷体_GB2312" w:eastAsia="楷体_GB2312" w:hint="eastAsia"/>
          <w:sz w:val="32"/>
          <w:szCs w:val="32"/>
        </w:rPr>
        <w:t>（责任单位：各师市。配合单位：兵团自然资源局、财政局、住房和城乡建设局、兵团地方金融监督管理局、中国人民银行乌鲁木齐中心支行、中国银保监会新疆监管局）</w:t>
      </w:r>
    </w:p>
    <w:p w:rsidR="00222D9B" w:rsidRDefault="00222D9B" w:rsidP="00222D9B">
      <w:pPr>
        <w:spacing w:line="560" w:lineRule="exact"/>
        <w:ind w:firstLineChars="200" w:firstLine="640"/>
        <w:rPr>
          <w:rFonts w:eastAsia="仿宋_GB2312"/>
          <w:sz w:val="32"/>
          <w:szCs w:val="32"/>
        </w:rPr>
      </w:pPr>
      <w:r w:rsidRPr="00644512">
        <w:rPr>
          <w:rFonts w:eastAsia="楷体_GB2312"/>
          <w:sz w:val="32"/>
          <w:szCs w:val="32"/>
        </w:rPr>
        <w:t>（二）提供便捷高效的政务服务，强化信息互通共享。</w:t>
      </w:r>
      <w:r w:rsidRPr="00644512">
        <w:rPr>
          <w:rFonts w:eastAsia="仿宋_GB2312"/>
          <w:sz w:val="32"/>
          <w:szCs w:val="32"/>
        </w:rPr>
        <w:t>大力发展</w:t>
      </w:r>
      <w:r w:rsidRPr="00644512">
        <w:rPr>
          <w:rFonts w:eastAsia="仿宋_GB2312"/>
          <w:sz w:val="32"/>
          <w:szCs w:val="32"/>
        </w:rPr>
        <w:t>“</w:t>
      </w:r>
      <w:r w:rsidRPr="00644512">
        <w:rPr>
          <w:rFonts w:eastAsia="仿宋_GB2312"/>
          <w:sz w:val="32"/>
          <w:szCs w:val="32"/>
        </w:rPr>
        <w:t>互联网</w:t>
      </w:r>
      <w:r w:rsidRPr="00644512">
        <w:rPr>
          <w:rFonts w:eastAsia="仿宋_GB2312"/>
          <w:sz w:val="32"/>
          <w:szCs w:val="32"/>
        </w:rPr>
        <w:t>+</w:t>
      </w:r>
      <w:r w:rsidRPr="00644512">
        <w:rPr>
          <w:rFonts w:eastAsia="仿宋_GB2312"/>
          <w:sz w:val="32"/>
          <w:szCs w:val="32"/>
        </w:rPr>
        <w:t>政务服务</w:t>
      </w:r>
      <w:r w:rsidRPr="00644512">
        <w:rPr>
          <w:rFonts w:eastAsia="仿宋_GB2312"/>
          <w:sz w:val="32"/>
          <w:szCs w:val="32"/>
        </w:rPr>
        <w:t>”</w:t>
      </w:r>
      <w:r w:rsidRPr="00644512">
        <w:rPr>
          <w:rFonts w:eastAsia="仿宋_GB2312"/>
          <w:sz w:val="32"/>
          <w:szCs w:val="32"/>
        </w:rPr>
        <w:t>，积极推进</w:t>
      </w:r>
      <w:r w:rsidRPr="00644512">
        <w:rPr>
          <w:rFonts w:eastAsia="仿宋_GB2312"/>
          <w:sz w:val="32"/>
          <w:szCs w:val="32"/>
        </w:rPr>
        <w:t>“</w:t>
      </w:r>
      <w:r w:rsidRPr="00644512">
        <w:rPr>
          <w:rFonts w:eastAsia="仿宋_GB2312"/>
          <w:sz w:val="32"/>
          <w:szCs w:val="32"/>
        </w:rPr>
        <w:t>一窗受理、一网通办、一站办结</w:t>
      </w:r>
      <w:r w:rsidRPr="00644512">
        <w:rPr>
          <w:rFonts w:eastAsia="仿宋_GB2312"/>
          <w:sz w:val="32"/>
          <w:szCs w:val="32"/>
        </w:rPr>
        <w:t>”</w:t>
      </w:r>
      <w:r w:rsidRPr="00644512">
        <w:rPr>
          <w:rFonts w:eastAsia="仿宋_GB2312"/>
          <w:sz w:val="32"/>
          <w:szCs w:val="32"/>
        </w:rPr>
        <w:t>，精简证明材料，压缩办理时间，提高办事效率和服务水平。</w:t>
      </w:r>
      <w:r>
        <w:rPr>
          <w:rFonts w:eastAsia="仿宋_GB2312" w:hint="eastAsia"/>
          <w:sz w:val="32"/>
          <w:szCs w:val="32"/>
        </w:rPr>
        <w:t>发挥公共资源交易“一体化”平台的专业优势，提供法律、政策咨询服务，协调矛盾，化解纠纷，营造良好的交易环境。</w:t>
      </w:r>
      <w:r w:rsidRPr="00644512">
        <w:rPr>
          <w:rFonts w:eastAsia="仿宋_GB2312"/>
          <w:sz w:val="32"/>
          <w:szCs w:val="32"/>
        </w:rPr>
        <w:t>各师市及相关部门应加强建设用地使用权与房地产交易管理的衔接，并对涉地股权转让实行联合监管。</w:t>
      </w:r>
    </w:p>
    <w:p w:rsidR="00222D9B" w:rsidRPr="0012311C" w:rsidRDefault="00222D9B" w:rsidP="00222D9B">
      <w:pPr>
        <w:spacing w:line="560" w:lineRule="exact"/>
        <w:ind w:firstLineChars="200" w:firstLine="640"/>
        <w:rPr>
          <w:rFonts w:ascii="楷体_GB2312" w:eastAsia="楷体_GB2312"/>
          <w:sz w:val="32"/>
          <w:szCs w:val="32"/>
        </w:rPr>
      </w:pPr>
      <w:r w:rsidRPr="0012311C">
        <w:rPr>
          <w:rFonts w:ascii="楷体_GB2312" w:eastAsia="楷体_GB2312" w:hint="eastAsia"/>
          <w:sz w:val="32"/>
          <w:szCs w:val="32"/>
        </w:rPr>
        <w:t>（责任单位：各师市。配合单位：兵团自然资源局、公共资源交易中心（行政服务中心）、住房和城乡建设局、国有资产监督管理委员会）</w:t>
      </w:r>
    </w:p>
    <w:p w:rsidR="00222D9B" w:rsidRDefault="00222D9B" w:rsidP="00222D9B">
      <w:pPr>
        <w:spacing w:line="560" w:lineRule="exact"/>
        <w:ind w:firstLineChars="200" w:firstLine="640"/>
        <w:rPr>
          <w:rFonts w:eastAsia="仿宋_GB2312"/>
          <w:b/>
          <w:sz w:val="32"/>
          <w:szCs w:val="32"/>
        </w:rPr>
      </w:pPr>
      <w:r w:rsidRPr="00644512">
        <w:rPr>
          <w:rFonts w:eastAsia="楷体_GB2312"/>
          <w:sz w:val="32"/>
          <w:szCs w:val="32"/>
        </w:rPr>
        <w:t>（三）完善土地市场信用体系。</w:t>
      </w:r>
      <w:r w:rsidRPr="00644512">
        <w:rPr>
          <w:rFonts w:eastAsia="仿宋_GB2312"/>
          <w:sz w:val="32"/>
          <w:szCs w:val="32"/>
        </w:rPr>
        <w:t>土地转让后，出让合同所载明的权利义务随之转移，受让人应依法履约。师市相关部门要按照</w:t>
      </w:r>
      <w:r w:rsidRPr="00644512">
        <w:rPr>
          <w:rFonts w:eastAsia="仿宋_GB2312"/>
          <w:sz w:val="32"/>
          <w:szCs w:val="32"/>
        </w:rPr>
        <w:t>“</w:t>
      </w:r>
      <w:r w:rsidRPr="00644512">
        <w:rPr>
          <w:rFonts w:eastAsia="仿宋_GB2312"/>
          <w:sz w:val="32"/>
          <w:szCs w:val="32"/>
        </w:rPr>
        <w:t>谁审批谁监管、谁主管谁监管</w:t>
      </w:r>
      <w:r w:rsidRPr="00644512">
        <w:rPr>
          <w:rFonts w:eastAsia="仿宋_GB2312"/>
          <w:sz w:val="32"/>
          <w:szCs w:val="32"/>
        </w:rPr>
        <w:t>”</w:t>
      </w:r>
      <w:r w:rsidRPr="00644512">
        <w:rPr>
          <w:rFonts w:eastAsia="仿宋_GB2312"/>
          <w:sz w:val="32"/>
          <w:szCs w:val="32"/>
        </w:rPr>
        <w:t>的原则，加强对交易各方的信</w:t>
      </w:r>
      <w:r w:rsidRPr="00644512">
        <w:rPr>
          <w:rFonts w:eastAsia="仿宋_GB2312"/>
          <w:sz w:val="32"/>
          <w:szCs w:val="32"/>
        </w:rPr>
        <w:lastRenderedPageBreak/>
        <w:t>用监管，健全以</w:t>
      </w:r>
      <w:r>
        <w:rPr>
          <w:rFonts w:eastAsia="仿宋_GB2312" w:hint="eastAsia"/>
          <w:sz w:val="32"/>
          <w:szCs w:val="32"/>
        </w:rPr>
        <w:t>“</w:t>
      </w:r>
      <w:r w:rsidRPr="00644512">
        <w:rPr>
          <w:rFonts w:eastAsia="仿宋_GB2312"/>
          <w:sz w:val="32"/>
          <w:szCs w:val="32"/>
        </w:rPr>
        <w:t>双随机、一公开</w:t>
      </w:r>
      <w:r>
        <w:rPr>
          <w:rFonts w:eastAsia="仿宋_GB2312" w:hint="eastAsia"/>
          <w:sz w:val="32"/>
          <w:szCs w:val="32"/>
        </w:rPr>
        <w:t>”</w:t>
      </w:r>
      <w:r w:rsidRPr="00644512">
        <w:rPr>
          <w:rFonts w:eastAsia="仿宋_GB2312"/>
          <w:sz w:val="32"/>
          <w:szCs w:val="32"/>
        </w:rPr>
        <w:t>为基本手段、以重点监管为补充、以信用监管为基础的新型监管机制。各师市要结合实际，制定土地市场信用评价规则和约束措施，建立</w:t>
      </w:r>
      <w:r w:rsidRPr="00644512">
        <w:rPr>
          <w:rFonts w:eastAsia="仿宋_GB2312"/>
          <w:sz w:val="32"/>
          <w:szCs w:val="32"/>
        </w:rPr>
        <w:t>“</w:t>
      </w:r>
      <w:r w:rsidRPr="00644512">
        <w:rPr>
          <w:rFonts w:eastAsia="仿宋_GB2312"/>
          <w:sz w:val="32"/>
          <w:szCs w:val="32"/>
        </w:rPr>
        <w:t>黑名单</w:t>
      </w:r>
      <w:r w:rsidRPr="00644512">
        <w:rPr>
          <w:rFonts w:eastAsia="仿宋_GB2312"/>
          <w:sz w:val="32"/>
          <w:szCs w:val="32"/>
        </w:rPr>
        <w:t>”</w:t>
      </w:r>
      <w:r w:rsidRPr="00644512">
        <w:rPr>
          <w:rFonts w:eastAsia="仿宋_GB2312"/>
          <w:sz w:val="32"/>
          <w:szCs w:val="32"/>
        </w:rPr>
        <w:t>制度，严格落实《失信企业协同监管和联合惩戒合作备忘录》，对失信责任主体实施联合惩戒，推进土地市场信用体系共建共治共享。</w:t>
      </w:r>
    </w:p>
    <w:p w:rsidR="00222D9B" w:rsidRPr="0012311C" w:rsidRDefault="00222D9B" w:rsidP="00222D9B">
      <w:pPr>
        <w:spacing w:line="560" w:lineRule="exact"/>
        <w:ind w:firstLineChars="200" w:firstLine="640"/>
        <w:rPr>
          <w:rFonts w:ascii="楷体_GB2312" w:eastAsia="楷体_GB2312"/>
          <w:b/>
          <w:sz w:val="32"/>
          <w:szCs w:val="32"/>
        </w:rPr>
      </w:pPr>
      <w:r w:rsidRPr="0012311C">
        <w:rPr>
          <w:rFonts w:ascii="楷体_GB2312" w:eastAsia="楷体_GB2312" w:hint="eastAsia"/>
          <w:sz w:val="32"/>
          <w:szCs w:val="32"/>
        </w:rPr>
        <w:t>（责任单位：各师市。配合单位：兵团发展和改革委员会、自然资源局、市场监督管理局、中国人民银行乌鲁木齐中心支行）</w:t>
      </w:r>
    </w:p>
    <w:p w:rsidR="00222D9B" w:rsidRPr="00644512" w:rsidRDefault="00222D9B" w:rsidP="00222D9B">
      <w:pPr>
        <w:spacing w:line="560" w:lineRule="exact"/>
        <w:ind w:firstLineChars="200" w:firstLine="640"/>
        <w:rPr>
          <w:rFonts w:eastAsia="仿宋_GB2312"/>
          <w:sz w:val="32"/>
          <w:szCs w:val="32"/>
        </w:rPr>
      </w:pPr>
      <w:r w:rsidRPr="00644512">
        <w:rPr>
          <w:rFonts w:eastAsia="黑体"/>
          <w:sz w:val="32"/>
          <w:szCs w:val="32"/>
        </w:rPr>
        <w:t>七、保障措施</w:t>
      </w:r>
    </w:p>
    <w:p w:rsidR="00222D9B" w:rsidRPr="00644512" w:rsidRDefault="00222D9B" w:rsidP="00222D9B">
      <w:pPr>
        <w:spacing w:line="560" w:lineRule="exact"/>
        <w:ind w:firstLineChars="200" w:firstLine="640"/>
        <w:rPr>
          <w:rFonts w:eastAsia="仿宋_GB2312"/>
          <w:sz w:val="32"/>
          <w:szCs w:val="32"/>
        </w:rPr>
      </w:pPr>
      <w:r w:rsidRPr="00644512">
        <w:rPr>
          <w:rFonts w:eastAsia="楷体_GB2312"/>
          <w:sz w:val="32"/>
          <w:szCs w:val="32"/>
        </w:rPr>
        <w:t>（一）加强组织领导。</w:t>
      </w:r>
      <w:r w:rsidRPr="00644512">
        <w:rPr>
          <w:rFonts w:eastAsia="仿宋_GB2312"/>
          <w:sz w:val="32"/>
          <w:szCs w:val="32"/>
        </w:rPr>
        <w:t>各师市各有关部门要充分认识完善土地二级市场的重要性，结合实际研究制定配套措施，确保各项工作举措和要求落实到位。各师市自然资源、财政、住房城乡建设、国有资产监督管理、税务、市场监管、金融等主管部门要建立联动机制，明确分工，落实责任，做好人员和经费保障，有序推进土地二级市场建设。</w:t>
      </w:r>
    </w:p>
    <w:p w:rsidR="00222D9B" w:rsidRPr="00644512" w:rsidRDefault="00222D9B" w:rsidP="00222D9B">
      <w:pPr>
        <w:spacing w:line="560" w:lineRule="exact"/>
        <w:ind w:firstLineChars="200" w:firstLine="640"/>
        <w:rPr>
          <w:rFonts w:eastAsia="仿宋_GB2312"/>
          <w:b/>
          <w:sz w:val="32"/>
          <w:szCs w:val="32"/>
        </w:rPr>
      </w:pPr>
      <w:r w:rsidRPr="00644512">
        <w:rPr>
          <w:rFonts w:eastAsia="楷体_GB2312"/>
          <w:sz w:val="32"/>
          <w:szCs w:val="32"/>
        </w:rPr>
        <w:t>（二）落实</w:t>
      </w:r>
      <w:r>
        <w:rPr>
          <w:rFonts w:eastAsia="楷体_GB2312" w:hint="eastAsia"/>
          <w:sz w:val="32"/>
          <w:szCs w:val="32"/>
        </w:rPr>
        <w:t>税收</w:t>
      </w:r>
      <w:r w:rsidRPr="00644512">
        <w:rPr>
          <w:rFonts w:eastAsia="楷体_GB2312"/>
          <w:sz w:val="32"/>
          <w:szCs w:val="32"/>
        </w:rPr>
        <w:t>政策。</w:t>
      </w:r>
      <w:r w:rsidRPr="00644512">
        <w:rPr>
          <w:rFonts w:eastAsia="仿宋_GB2312"/>
          <w:sz w:val="32"/>
          <w:szCs w:val="32"/>
        </w:rPr>
        <w:t>各师市可根据本地实际，在</w:t>
      </w:r>
      <w:r w:rsidRPr="00E67525">
        <w:rPr>
          <w:rFonts w:eastAsia="仿宋_GB2312"/>
          <w:color w:val="000000"/>
          <w:sz w:val="32"/>
          <w:szCs w:val="32"/>
        </w:rPr>
        <w:t>地方权限内探索城镇土地使用税差别化政策，研究完善促进盘活存量用地的税费制度，推进</w:t>
      </w:r>
      <w:r w:rsidRPr="00E67525">
        <w:rPr>
          <w:rFonts w:eastAsia="仿宋_GB2312"/>
          <w:color w:val="000000"/>
          <w:sz w:val="32"/>
          <w:szCs w:val="32"/>
        </w:rPr>
        <w:t>“</w:t>
      </w:r>
      <w:r w:rsidRPr="00E67525">
        <w:rPr>
          <w:rFonts w:eastAsia="仿宋_GB2312"/>
          <w:color w:val="000000"/>
          <w:sz w:val="32"/>
          <w:szCs w:val="32"/>
        </w:rPr>
        <w:t>以地控税、以税节地</w:t>
      </w:r>
      <w:r w:rsidRPr="00E67525">
        <w:rPr>
          <w:rFonts w:eastAsia="仿宋_GB2312"/>
          <w:color w:val="000000"/>
          <w:sz w:val="32"/>
          <w:szCs w:val="32"/>
        </w:rPr>
        <w:t>”</w:t>
      </w:r>
      <w:r w:rsidRPr="00E67525">
        <w:rPr>
          <w:rFonts w:eastAsia="仿宋_GB2312"/>
          <w:color w:val="000000"/>
          <w:sz w:val="32"/>
          <w:szCs w:val="32"/>
        </w:rPr>
        <w:t>，促进土地节约集约</w:t>
      </w:r>
      <w:r w:rsidRPr="00644512">
        <w:rPr>
          <w:rFonts w:eastAsia="仿宋_GB2312"/>
          <w:sz w:val="32"/>
          <w:szCs w:val="32"/>
        </w:rPr>
        <w:t>利用。</w:t>
      </w:r>
    </w:p>
    <w:p w:rsidR="00222D9B" w:rsidRPr="00644512" w:rsidRDefault="00222D9B" w:rsidP="00222D9B">
      <w:pPr>
        <w:spacing w:line="560" w:lineRule="exact"/>
        <w:ind w:firstLineChars="200" w:firstLine="640"/>
        <w:rPr>
          <w:rFonts w:eastAsia="仿宋_GB2312"/>
          <w:sz w:val="32"/>
          <w:szCs w:val="32"/>
        </w:rPr>
      </w:pPr>
      <w:r w:rsidRPr="00644512">
        <w:rPr>
          <w:rFonts w:eastAsia="楷体_GB2312"/>
          <w:sz w:val="32"/>
          <w:szCs w:val="32"/>
        </w:rPr>
        <w:t>（三）加大宣传引导。</w:t>
      </w:r>
      <w:r w:rsidRPr="00644512">
        <w:rPr>
          <w:rFonts w:eastAsia="仿宋_GB2312"/>
          <w:sz w:val="32"/>
          <w:szCs w:val="32"/>
        </w:rPr>
        <w:t>要强化对土地二级市场相关政策的宣传，及时总结典型经验，不断创新工作机制，扩大土地二级市场影响力、吸引力，调动市场主体参与积极性。合理引导市场预期，及时回应社会大众关注的相关问题，营造良好的土地市场舆论氛</w:t>
      </w:r>
      <w:r w:rsidRPr="00644512">
        <w:rPr>
          <w:rFonts w:eastAsia="仿宋_GB2312"/>
          <w:sz w:val="32"/>
          <w:szCs w:val="32"/>
        </w:rPr>
        <w:lastRenderedPageBreak/>
        <w:t>围，提升市场主体和全社会依法规范、节约集约用地的意识，切实提高资源利用效率。</w:t>
      </w:r>
    </w:p>
    <w:p w:rsidR="00222D9B" w:rsidRPr="00644512" w:rsidRDefault="00222D9B" w:rsidP="00222D9B">
      <w:pPr>
        <w:spacing w:line="560" w:lineRule="exact"/>
        <w:ind w:firstLineChars="200" w:firstLine="640"/>
        <w:rPr>
          <w:rFonts w:eastAsia="仿宋_GB2312"/>
          <w:sz w:val="32"/>
          <w:szCs w:val="32"/>
        </w:rPr>
      </w:pPr>
      <w:r w:rsidRPr="00644512">
        <w:rPr>
          <w:rFonts w:eastAsia="楷体_GB2312"/>
          <w:sz w:val="32"/>
          <w:szCs w:val="32"/>
        </w:rPr>
        <w:t>（四）强化监督问责。</w:t>
      </w:r>
      <w:r w:rsidRPr="00644512">
        <w:rPr>
          <w:rFonts w:eastAsia="仿宋_GB2312"/>
          <w:sz w:val="32"/>
          <w:szCs w:val="32"/>
        </w:rPr>
        <w:t>建立和完善土地二级市场是国家和兵团部署的深化改革重要任务，各师市要加强对土地二级市场建设的督促落实，定期调度情况，加快改革任务落实。兵团相关部门要加强监督问责，对违反土地二级市场相关规定的师市和有关部门、单位以及责任人员严格实行责任追究，坚决打击各种腐败行为。</w:t>
      </w:r>
    </w:p>
    <w:sectPr w:rsidR="00222D9B" w:rsidRPr="00644512" w:rsidSect="00B44AF1">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BF2" w:rsidRDefault="00B44BF2">
      <w:r>
        <w:separator/>
      </w:r>
    </w:p>
  </w:endnote>
  <w:endnote w:type="continuationSeparator" w:id="1">
    <w:p w:rsidR="00B44BF2" w:rsidRDefault="00B44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885227"/>
      <w:docPartObj>
        <w:docPartGallery w:val="Page Numbers (Bottom of Page)"/>
        <w:docPartUnique/>
      </w:docPartObj>
    </w:sdtPr>
    <w:sdtEndPr>
      <w:rPr>
        <w:rFonts w:asciiTheme="minorEastAsia" w:eastAsiaTheme="minorEastAsia" w:hAnsiTheme="minorEastAsia"/>
        <w:sz w:val="28"/>
        <w:szCs w:val="28"/>
      </w:rPr>
    </w:sdtEndPr>
    <w:sdtContent>
      <w:p w:rsidR="00B44AF1" w:rsidRPr="00B44AF1" w:rsidRDefault="00A160B7">
        <w:pPr>
          <w:pStyle w:val="a3"/>
          <w:rPr>
            <w:rFonts w:asciiTheme="minorEastAsia" w:eastAsiaTheme="minorEastAsia" w:hAnsiTheme="minorEastAsia"/>
            <w:sz w:val="28"/>
            <w:szCs w:val="28"/>
          </w:rPr>
        </w:pPr>
        <w:r w:rsidRPr="00B44AF1">
          <w:rPr>
            <w:rFonts w:asciiTheme="minorEastAsia" w:eastAsiaTheme="minorEastAsia" w:hAnsiTheme="minorEastAsia"/>
            <w:sz w:val="28"/>
            <w:szCs w:val="28"/>
          </w:rPr>
          <w:fldChar w:fldCharType="begin"/>
        </w:r>
        <w:r w:rsidR="00B44AF1" w:rsidRPr="00B44AF1">
          <w:rPr>
            <w:rFonts w:asciiTheme="minorEastAsia" w:eastAsiaTheme="minorEastAsia" w:hAnsiTheme="minorEastAsia"/>
            <w:sz w:val="28"/>
            <w:szCs w:val="28"/>
          </w:rPr>
          <w:instrText>PAGE   \* MERGEFORMAT</w:instrText>
        </w:r>
        <w:r w:rsidRPr="00B44AF1">
          <w:rPr>
            <w:rFonts w:asciiTheme="minorEastAsia" w:eastAsiaTheme="minorEastAsia" w:hAnsiTheme="minorEastAsia"/>
            <w:sz w:val="28"/>
            <w:szCs w:val="28"/>
          </w:rPr>
          <w:fldChar w:fldCharType="separate"/>
        </w:r>
        <w:r w:rsidR="00FE64B3" w:rsidRPr="00FE64B3">
          <w:rPr>
            <w:rFonts w:asciiTheme="minorEastAsia" w:eastAsiaTheme="minorEastAsia" w:hAnsiTheme="minorEastAsia"/>
            <w:noProof/>
            <w:sz w:val="28"/>
            <w:szCs w:val="28"/>
            <w:lang w:val="zh-CN"/>
          </w:rPr>
          <w:t>-</w:t>
        </w:r>
        <w:r w:rsidR="00FE64B3">
          <w:rPr>
            <w:rFonts w:asciiTheme="minorEastAsia" w:eastAsiaTheme="minorEastAsia" w:hAnsiTheme="minorEastAsia"/>
            <w:noProof/>
            <w:sz w:val="28"/>
            <w:szCs w:val="28"/>
          </w:rPr>
          <w:t xml:space="preserve"> 10 -</w:t>
        </w:r>
        <w:r w:rsidRPr="00B44AF1">
          <w:rPr>
            <w:rFonts w:asciiTheme="minorEastAsia" w:eastAsiaTheme="minorEastAsia" w:hAnsiTheme="minorEastAsia"/>
            <w:sz w:val="28"/>
            <w:szCs w:val="28"/>
          </w:rPr>
          <w:fldChar w:fldCharType="end"/>
        </w:r>
      </w:p>
    </w:sdtContent>
  </w:sdt>
  <w:p w:rsidR="002D2C10" w:rsidRDefault="00B44BF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603932"/>
      <w:docPartObj>
        <w:docPartGallery w:val="Page Numbers (Bottom of Page)"/>
        <w:docPartUnique/>
      </w:docPartObj>
    </w:sdtPr>
    <w:sdtContent>
      <w:p w:rsidR="00B44AF1" w:rsidRDefault="00A160B7">
        <w:pPr>
          <w:pStyle w:val="a3"/>
          <w:jc w:val="right"/>
        </w:pPr>
        <w:r w:rsidRPr="00B44AF1">
          <w:rPr>
            <w:rFonts w:asciiTheme="minorEastAsia" w:eastAsiaTheme="minorEastAsia" w:hAnsiTheme="minorEastAsia"/>
            <w:sz w:val="28"/>
            <w:szCs w:val="28"/>
          </w:rPr>
          <w:fldChar w:fldCharType="begin"/>
        </w:r>
        <w:r w:rsidR="00B44AF1" w:rsidRPr="00B44AF1">
          <w:rPr>
            <w:rFonts w:asciiTheme="minorEastAsia" w:eastAsiaTheme="minorEastAsia" w:hAnsiTheme="minorEastAsia"/>
            <w:sz w:val="28"/>
            <w:szCs w:val="28"/>
          </w:rPr>
          <w:instrText>PAGE   \* MERGEFORMAT</w:instrText>
        </w:r>
        <w:r w:rsidRPr="00B44AF1">
          <w:rPr>
            <w:rFonts w:asciiTheme="minorEastAsia" w:eastAsiaTheme="minorEastAsia" w:hAnsiTheme="minorEastAsia"/>
            <w:sz w:val="28"/>
            <w:szCs w:val="28"/>
          </w:rPr>
          <w:fldChar w:fldCharType="separate"/>
        </w:r>
        <w:r w:rsidR="00E61BFB" w:rsidRPr="00E61BFB">
          <w:rPr>
            <w:rFonts w:asciiTheme="minorEastAsia" w:eastAsiaTheme="minorEastAsia" w:hAnsiTheme="minorEastAsia"/>
            <w:noProof/>
            <w:sz w:val="28"/>
            <w:szCs w:val="28"/>
            <w:lang w:val="zh-CN"/>
          </w:rPr>
          <w:t>-</w:t>
        </w:r>
        <w:r w:rsidR="00E61BFB">
          <w:rPr>
            <w:rFonts w:asciiTheme="minorEastAsia" w:eastAsiaTheme="minorEastAsia" w:hAnsiTheme="minorEastAsia"/>
            <w:noProof/>
            <w:sz w:val="28"/>
            <w:szCs w:val="28"/>
          </w:rPr>
          <w:t xml:space="preserve"> 1 -</w:t>
        </w:r>
        <w:r w:rsidRPr="00B44AF1">
          <w:rPr>
            <w:rFonts w:asciiTheme="minorEastAsia" w:eastAsiaTheme="minorEastAsia" w:hAnsiTheme="minorEastAsia"/>
            <w:sz w:val="28"/>
            <w:szCs w:val="28"/>
          </w:rPr>
          <w:fldChar w:fldCharType="end"/>
        </w:r>
      </w:p>
    </w:sdtContent>
  </w:sdt>
  <w:p w:rsidR="00B44AF1" w:rsidRDefault="00B44AF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BF2" w:rsidRDefault="00B44BF2">
      <w:r>
        <w:separator/>
      </w:r>
    </w:p>
  </w:footnote>
  <w:footnote w:type="continuationSeparator" w:id="1">
    <w:p w:rsidR="00B44BF2" w:rsidRDefault="00B44B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879E4"/>
    <w:multiLevelType w:val="hybridMultilevel"/>
    <w:tmpl w:val="B2EA35C0"/>
    <w:lvl w:ilvl="0" w:tplc="A128FC88">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14BD"/>
    <w:rsid w:val="0003790B"/>
    <w:rsid w:val="00066B0F"/>
    <w:rsid w:val="00074334"/>
    <w:rsid w:val="00096BC2"/>
    <w:rsid w:val="000F6C46"/>
    <w:rsid w:val="000F7347"/>
    <w:rsid w:val="00107CA0"/>
    <w:rsid w:val="0012311C"/>
    <w:rsid w:val="001257B0"/>
    <w:rsid w:val="00136EF1"/>
    <w:rsid w:val="00171CFF"/>
    <w:rsid w:val="001743E6"/>
    <w:rsid w:val="00184404"/>
    <w:rsid w:val="00197C03"/>
    <w:rsid w:val="001B77B7"/>
    <w:rsid w:val="001C630A"/>
    <w:rsid w:val="001F27B6"/>
    <w:rsid w:val="001F5E7D"/>
    <w:rsid w:val="00222D9B"/>
    <w:rsid w:val="002910DD"/>
    <w:rsid w:val="002911BD"/>
    <w:rsid w:val="00295B9D"/>
    <w:rsid w:val="002976F6"/>
    <w:rsid w:val="002C1610"/>
    <w:rsid w:val="002D31CA"/>
    <w:rsid w:val="003546E9"/>
    <w:rsid w:val="003711BE"/>
    <w:rsid w:val="00372A6D"/>
    <w:rsid w:val="00394AC2"/>
    <w:rsid w:val="003E7E9E"/>
    <w:rsid w:val="00404FE9"/>
    <w:rsid w:val="00411C2C"/>
    <w:rsid w:val="00470DD3"/>
    <w:rsid w:val="004E48D4"/>
    <w:rsid w:val="005055FF"/>
    <w:rsid w:val="00546498"/>
    <w:rsid w:val="00551032"/>
    <w:rsid w:val="00595E4F"/>
    <w:rsid w:val="005A57A3"/>
    <w:rsid w:val="005C1297"/>
    <w:rsid w:val="00646D7B"/>
    <w:rsid w:val="0064726F"/>
    <w:rsid w:val="006A7765"/>
    <w:rsid w:val="006C0769"/>
    <w:rsid w:val="006D197F"/>
    <w:rsid w:val="006F509E"/>
    <w:rsid w:val="00740CAD"/>
    <w:rsid w:val="007554F0"/>
    <w:rsid w:val="00782B3A"/>
    <w:rsid w:val="0078515F"/>
    <w:rsid w:val="007A4CDF"/>
    <w:rsid w:val="007C2F5B"/>
    <w:rsid w:val="007D527A"/>
    <w:rsid w:val="007E3543"/>
    <w:rsid w:val="007E6BFE"/>
    <w:rsid w:val="007F610B"/>
    <w:rsid w:val="008012A0"/>
    <w:rsid w:val="00841D0D"/>
    <w:rsid w:val="00871590"/>
    <w:rsid w:val="008A05B5"/>
    <w:rsid w:val="008A5B41"/>
    <w:rsid w:val="008D1A67"/>
    <w:rsid w:val="009051E8"/>
    <w:rsid w:val="00941B8F"/>
    <w:rsid w:val="00955FF7"/>
    <w:rsid w:val="009562DD"/>
    <w:rsid w:val="009570AC"/>
    <w:rsid w:val="009803B0"/>
    <w:rsid w:val="0099681C"/>
    <w:rsid w:val="009C3EB3"/>
    <w:rsid w:val="009F70AD"/>
    <w:rsid w:val="00A160B7"/>
    <w:rsid w:val="00A45911"/>
    <w:rsid w:val="00A50A4B"/>
    <w:rsid w:val="00A66C1B"/>
    <w:rsid w:val="00A85254"/>
    <w:rsid w:val="00AA2751"/>
    <w:rsid w:val="00AC28BF"/>
    <w:rsid w:val="00B22EBE"/>
    <w:rsid w:val="00B4316D"/>
    <w:rsid w:val="00B44AF1"/>
    <w:rsid w:val="00B44BF2"/>
    <w:rsid w:val="00B71D2F"/>
    <w:rsid w:val="00BB0E70"/>
    <w:rsid w:val="00BC42F7"/>
    <w:rsid w:val="00C02F9F"/>
    <w:rsid w:val="00C14D1C"/>
    <w:rsid w:val="00C220FC"/>
    <w:rsid w:val="00C46015"/>
    <w:rsid w:val="00CF5FE7"/>
    <w:rsid w:val="00D02C55"/>
    <w:rsid w:val="00D614BD"/>
    <w:rsid w:val="00D61CA0"/>
    <w:rsid w:val="00D62D5E"/>
    <w:rsid w:val="00D96451"/>
    <w:rsid w:val="00DB35A1"/>
    <w:rsid w:val="00DC59A4"/>
    <w:rsid w:val="00DD0E93"/>
    <w:rsid w:val="00DD4FDE"/>
    <w:rsid w:val="00DD7BBF"/>
    <w:rsid w:val="00DE5550"/>
    <w:rsid w:val="00DF3487"/>
    <w:rsid w:val="00E0658C"/>
    <w:rsid w:val="00E13420"/>
    <w:rsid w:val="00E33C37"/>
    <w:rsid w:val="00E459B7"/>
    <w:rsid w:val="00E60093"/>
    <w:rsid w:val="00E61BFB"/>
    <w:rsid w:val="00E84E69"/>
    <w:rsid w:val="00EB653A"/>
    <w:rsid w:val="00ED65B7"/>
    <w:rsid w:val="00EE272E"/>
    <w:rsid w:val="00F23688"/>
    <w:rsid w:val="00F27DCA"/>
    <w:rsid w:val="00F3746C"/>
    <w:rsid w:val="00F87F4B"/>
    <w:rsid w:val="00FC0A86"/>
    <w:rsid w:val="00FE64B3"/>
    <w:rsid w:val="00FF37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D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22D9B"/>
    <w:pPr>
      <w:tabs>
        <w:tab w:val="center" w:pos="4153"/>
        <w:tab w:val="right" w:pos="8306"/>
      </w:tabs>
      <w:snapToGrid w:val="0"/>
      <w:jc w:val="left"/>
    </w:pPr>
    <w:rPr>
      <w:sz w:val="18"/>
      <w:szCs w:val="18"/>
    </w:rPr>
  </w:style>
  <w:style w:type="character" w:customStyle="1" w:styleId="Char">
    <w:name w:val="页脚 Char"/>
    <w:basedOn w:val="a0"/>
    <w:link w:val="a3"/>
    <w:uiPriority w:val="99"/>
    <w:rsid w:val="00222D9B"/>
    <w:rPr>
      <w:rFonts w:ascii="Times New Roman" w:eastAsia="宋体" w:hAnsi="Times New Roman" w:cs="Times New Roman"/>
      <w:sz w:val="18"/>
      <w:szCs w:val="18"/>
    </w:rPr>
  </w:style>
  <w:style w:type="character" w:styleId="a4">
    <w:name w:val="page number"/>
    <w:basedOn w:val="a0"/>
    <w:rsid w:val="00222D9B"/>
  </w:style>
  <w:style w:type="paragraph" w:styleId="a5">
    <w:name w:val="List Paragraph"/>
    <w:basedOn w:val="a"/>
    <w:uiPriority w:val="34"/>
    <w:qFormat/>
    <w:rsid w:val="00222D9B"/>
    <w:pPr>
      <w:ind w:firstLineChars="200" w:firstLine="420"/>
    </w:pPr>
    <w:rPr>
      <w:rFonts w:ascii="Calibri" w:hAnsi="Calibri"/>
      <w:szCs w:val="22"/>
    </w:rPr>
  </w:style>
  <w:style w:type="paragraph" w:styleId="a6">
    <w:name w:val="header"/>
    <w:basedOn w:val="a"/>
    <w:link w:val="Char0"/>
    <w:uiPriority w:val="99"/>
    <w:unhideWhenUsed/>
    <w:rsid w:val="003711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711BE"/>
    <w:rPr>
      <w:rFonts w:ascii="Times New Roman" w:eastAsia="宋体" w:hAnsi="Times New Roman" w:cs="Times New Roman"/>
      <w:sz w:val="18"/>
      <w:szCs w:val="18"/>
    </w:rPr>
  </w:style>
  <w:style w:type="paragraph" w:styleId="a7">
    <w:name w:val="Balloon Text"/>
    <w:basedOn w:val="a"/>
    <w:link w:val="Char1"/>
    <w:uiPriority w:val="99"/>
    <w:semiHidden/>
    <w:unhideWhenUsed/>
    <w:rsid w:val="003711BE"/>
    <w:rPr>
      <w:sz w:val="18"/>
      <w:szCs w:val="18"/>
    </w:rPr>
  </w:style>
  <w:style w:type="character" w:customStyle="1" w:styleId="Char1">
    <w:name w:val="批注框文本 Char"/>
    <w:basedOn w:val="a0"/>
    <w:link w:val="a7"/>
    <w:uiPriority w:val="99"/>
    <w:semiHidden/>
    <w:rsid w:val="003711BE"/>
    <w:rPr>
      <w:rFonts w:ascii="Times New Roman" w:eastAsia="宋体" w:hAnsi="Times New Roman" w:cs="Times New Roman"/>
      <w:sz w:val="18"/>
      <w:szCs w:val="18"/>
    </w:rPr>
  </w:style>
  <w:style w:type="character" w:styleId="a8">
    <w:name w:val="Hyperlink"/>
    <w:basedOn w:val="a0"/>
    <w:uiPriority w:val="99"/>
    <w:unhideWhenUsed/>
    <w:rsid w:val="00F374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D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22D9B"/>
    <w:pPr>
      <w:tabs>
        <w:tab w:val="center" w:pos="4153"/>
        <w:tab w:val="right" w:pos="8306"/>
      </w:tabs>
      <w:snapToGrid w:val="0"/>
      <w:jc w:val="left"/>
    </w:pPr>
    <w:rPr>
      <w:sz w:val="18"/>
      <w:szCs w:val="18"/>
    </w:rPr>
  </w:style>
  <w:style w:type="character" w:customStyle="1" w:styleId="Char">
    <w:name w:val="页脚 Char"/>
    <w:basedOn w:val="a0"/>
    <w:link w:val="a3"/>
    <w:uiPriority w:val="99"/>
    <w:rsid w:val="00222D9B"/>
    <w:rPr>
      <w:rFonts w:ascii="Times New Roman" w:eastAsia="宋体" w:hAnsi="Times New Roman" w:cs="Times New Roman"/>
      <w:sz w:val="18"/>
      <w:szCs w:val="18"/>
    </w:rPr>
  </w:style>
  <w:style w:type="character" w:styleId="a4">
    <w:name w:val="page number"/>
    <w:basedOn w:val="a0"/>
    <w:rsid w:val="00222D9B"/>
  </w:style>
  <w:style w:type="paragraph" w:styleId="a5">
    <w:name w:val="List Paragraph"/>
    <w:basedOn w:val="a"/>
    <w:uiPriority w:val="34"/>
    <w:qFormat/>
    <w:rsid w:val="00222D9B"/>
    <w:pPr>
      <w:ind w:firstLineChars="200" w:firstLine="420"/>
    </w:pPr>
    <w:rPr>
      <w:rFonts w:ascii="Calibri" w:hAnsi="Calibri"/>
      <w:szCs w:val="22"/>
    </w:rPr>
  </w:style>
  <w:style w:type="paragraph" w:styleId="a6">
    <w:name w:val="header"/>
    <w:basedOn w:val="a"/>
    <w:link w:val="Char0"/>
    <w:uiPriority w:val="99"/>
    <w:unhideWhenUsed/>
    <w:rsid w:val="003711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711BE"/>
    <w:rPr>
      <w:rFonts w:ascii="Times New Roman" w:eastAsia="宋体" w:hAnsi="Times New Roman" w:cs="Times New Roman"/>
      <w:sz w:val="18"/>
      <w:szCs w:val="18"/>
    </w:rPr>
  </w:style>
  <w:style w:type="paragraph" w:styleId="a7">
    <w:name w:val="Balloon Text"/>
    <w:basedOn w:val="a"/>
    <w:link w:val="Char1"/>
    <w:uiPriority w:val="99"/>
    <w:semiHidden/>
    <w:unhideWhenUsed/>
    <w:rsid w:val="003711BE"/>
    <w:rPr>
      <w:sz w:val="18"/>
      <w:szCs w:val="18"/>
    </w:rPr>
  </w:style>
  <w:style w:type="character" w:customStyle="1" w:styleId="Char1">
    <w:name w:val="批注框文本 Char"/>
    <w:basedOn w:val="a0"/>
    <w:link w:val="a7"/>
    <w:uiPriority w:val="99"/>
    <w:semiHidden/>
    <w:rsid w:val="003711BE"/>
    <w:rPr>
      <w:rFonts w:ascii="Times New Roman" w:eastAsia="宋体" w:hAnsi="Times New Roman" w:cs="Times New Roman"/>
      <w:sz w:val="18"/>
      <w:szCs w:val="18"/>
    </w:rPr>
  </w:style>
  <w:style w:type="character" w:styleId="a8">
    <w:name w:val="Hyperlink"/>
    <w:basedOn w:val="a0"/>
    <w:uiPriority w:val="99"/>
    <w:unhideWhenUsed/>
    <w:rsid w:val="00F374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李路路</dc:creator>
  <cp:keywords/>
  <dc:description/>
  <cp:lastModifiedBy>微软用户</cp:lastModifiedBy>
  <cp:revision>8</cp:revision>
  <cp:lastPrinted>2020-12-14T07:47:00Z</cp:lastPrinted>
  <dcterms:created xsi:type="dcterms:W3CDTF">2020-12-17T04:14:00Z</dcterms:created>
  <dcterms:modified xsi:type="dcterms:W3CDTF">2010-12-31T17:25:00Z</dcterms:modified>
</cp:coreProperties>
</file>