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818" w:rsidRDefault="007B4818">
      <w:pPr>
        <w:pStyle w:val="10"/>
        <w:shd w:val="clear" w:color="auto" w:fill="FFFFFF" w:themeFill="background1"/>
        <w:ind w:left="320" w:right="320" w:firstLine="402"/>
        <w:rPr>
          <w:color w:val="000000" w:themeColor="text1"/>
        </w:rPr>
      </w:pPr>
      <w:bookmarkStart w:id="0" w:name="_Toc30493376"/>
    </w:p>
    <w:p w:rsidR="007B4818" w:rsidRDefault="007B4818">
      <w:pPr>
        <w:pStyle w:val="10"/>
        <w:shd w:val="clear" w:color="auto" w:fill="FFFFFF" w:themeFill="background1"/>
        <w:ind w:left="320" w:right="320" w:firstLine="402"/>
        <w:rPr>
          <w:color w:val="000000" w:themeColor="text1"/>
        </w:rPr>
      </w:pPr>
    </w:p>
    <w:p w:rsidR="007B4818" w:rsidRDefault="007B4818">
      <w:pPr>
        <w:pStyle w:val="10"/>
        <w:shd w:val="clear" w:color="auto" w:fill="FFFFFF" w:themeFill="background1"/>
        <w:ind w:left="320" w:right="320" w:firstLine="402"/>
        <w:rPr>
          <w:color w:val="000000" w:themeColor="text1"/>
        </w:rPr>
      </w:pPr>
    </w:p>
    <w:p w:rsidR="007B4818" w:rsidRDefault="007B4818">
      <w:pPr>
        <w:rPr>
          <w:color w:val="000000" w:themeColor="text1"/>
        </w:rPr>
      </w:pPr>
    </w:p>
    <w:p w:rsidR="007B4818" w:rsidRDefault="007B4818">
      <w:pPr>
        <w:rPr>
          <w:color w:val="000000" w:themeColor="text1"/>
        </w:rPr>
      </w:pPr>
    </w:p>
    <w:p w:rsidR="007B4818" w:rsidRDefault="007B4818">
      <w:pPr>
        <w:pStyle w:val="10"/>
        <w:shd w:val="clear" w:color="auto" w:fill="FFFFFF" w:themeFill="background1"/>
        <w:ind w:left="320" w:right="320" w:firstLine="402"/>
        <w:rPr>
          <w:color w:val="000000" w:themeColor="text1"/>
        </w:rPr>
      </w:pPr>
    </w:p>
    <w:p w:rsidR="007B4818" w:rsidRDefault="00E87F2F">
      <w:pPr>
        <w:pStyle w:val="ab"/>
        <w:ind w:right="320" w:firstLineChars="0" w:firstLine="0"/>
        <w:rPr>
          <w:rStyle w:val="af"/>
          <w:rFonts w:eastAsia="黑体" w:cs="黑体"/>
          <w:bCs/>
          <w:caps w:val="0"/>
          <w:color w:val="000000" w:themeColor="text1"/>
          <w:sz w:val="44"/>
          <w:szCs w:val="44"/>
        </w:rPr>
      </w:pPr>
      <w:hyperlink w:anchor="_Toc263261389" w:history="1">
        <w:r w:rsidR="00D73177">
          <w:rPr>
            <w:rStyle w:val="af"/>
            <w:rFonts w:eastAsia="黑体" w:hint="eastAsia"/>
            <w:color w:val="000000" w:themeColor="text1"/>
            <w:sz w:val="44"/>
            <w:szCs w:val="44"/>
          </w:rPr>
          <w:t>市级国土空间总体规划编制指南</w:t>
        </w:r>
      </w:hyperlink>
    </w:p>
    <w:p w:rsidR="007B4818" w:rsidRDefault="00D73177">
      <w:pPr>
        <w:jc w:val="center"/>
        <w:rPr>
          <w:rStyle w:val="af"/>
          <w:rFonts w:ascii="楷体_GB2312" w:eastAsia="楷体_GB2312" w:hAnsi="仿宋"/>
          <w:color w:val="000000" w:themeColor="text1"/>
          <w:sz w:val="32"/>
          <w:szCs w:val="32"/>
        </w:rPr>
      </w:pPr>
      <w:r>
        <w:rPr>
          <w:rStyle w:val="af"/>
          <w:rFonts w:ascii="楷体_GB2312" w:eastAsia="楷体_GB2312" w:hAnsi="仿宋" w:hint="eastAsia"/>
          <w:color w:val="000000" w:themeColor="text1"/>
          <w:sz w:val="32"/>
          <w:szCs w:val="32"/>
        </w:rPr>
        <w:t>（试行）</w:t>
      </w:r>
    </w:p>
    <w:p w:rsidR="007B4818" w:rsidRDefault="007B4818">
      <w:pPr>
        <w:rPr>
          <w:color w:val="000000" w:themeColor="text1"/>
        </w:rPr>
      </w:pPr>
    </w:p>
    <w:p w:rsidR="007B4818" w:rsidRDefault="007B4818">
      <w:pPr>
        <w:rPr>
          <w:color w:val="000000" w:themeColor="text1"/>
        </w:rPr>
      </w:pPr>
    </w:p>
    <w:p w:rsidR="007B4818" w:rsidRDefault="007B4818">
      <w:pPr>
        <w:rPr>
          <w:color w:val="000000" w:themeColor="text1"/>
        </w:rPr>
      </w:pPr>
    </w:p>
    <w:p w:rsidR="007B4818" w:rsidRDefault="007B4818">
      <w:pPr>
        <w:rPr>
          <w:color w:val="000000" w:themeColor="text1"/>
        </w:rPr>
      </w:pPr>
    </w:p>
    <w:p w:rsidR="007B4818" w:rsidRDefault="007B4818">
      <w:pPr>
        <w:rPr>
          <w:color w:val="000000" w:themeColor="text1"/>
        </w:rPr>
      </w:pPr>
    </w:p>
    <w:p w:rsidR="007B4818" w:rsidRDefault="007B4818">
      <w:pPr>
        <w:rPr>
          <w:color w:val="000000" w:themeColor="text1"/>
        </w:rPr>
      </w:pPr>
    </w:p>
    <w:p w:rsidR="007B4818" w:rsidRDefault="007B4818">
      <w:pPr>
        <w:rPr>
          <w:color w:val="000000" w:themeColor="text1"/>
        </w:rPr>
      </w:pPr>
    </w:p>
    <w:p w:rsidR="007B4818" w:rsidRDefault="007B4818">
      <w:pPr>
        <w:rPr>
          <w:color w:val="000000" w:themeColor="text1"/>
        </w:rPr>
      </w:pPr>
    </w:p>
    <w:p w:rsidR="007B4818" w:rsidRDefault="007B4818">
      <w:pPr>
        <w:rPr>
          <w:color w:val="000000" w:themeColor="text1"/>
        </w:rPr>
      </w:pPr>
    </w:p>
    <w:p w:rsidR="007B4818" w:rsidRDefault="007B4818">
      <w:pPr>
        <w:rPr>
          <w:color w:val="000000" w:themeColor="text1"/>
        </w:rPr>
      </w:pPr>
    </w:p>
    <w:p w:rsidR="007B4818" w:rsidRDefault="007B4818">
      <w:pPr>
        <w:rPr>
          <w:color w:val="000000" w:themeColor="text1"/>
        </w:rPr>
      </w:pPr>
    </w:p>
    <w:p w:rsidR="007B4818" w:rsidRDefault="007B4818">
      <w:pPr>
        <w:rPr>
          <w:color w:val="000000" w:themeColor="text1"/>
        </w:rPr>
      </w:pPr>
    </w:p>
    <w:p w:rsidR="007B4818" w:rsidRDefault="007B4818">
      <w:pPr>
        <w:rPr>
          <w:color w:val="000000" w:themeColor="text1"/>
        </w:rPr>
      </w:pPr>
    </w:p>
    <w:p w:rsidR="007B4818" w:rsidRDefault="007B4818">
      <w:pPr>
        <w:rPr>
          <w:color w:val="000000" w:themeColor="text1"/>
        </w:rPr>
      </w:pPr>
    </w:p>
    <w:p w:rsidR="007B4818" w:rsidRDefault="007B4818">
      <w:pPr>
        <w:rPr>
          <w:color w:val="000000" w:themeColor="text1"/>
        </w:rPr>
      </w:pPr>
    </w:p>
    <w:p w:rsidR="007B4818" w:rsidRDefault="007B4818">
      <w:pPr>
        <w:rPr>
          <w:color w:val="000000" w:themeColor="text1"/>
        </w:rPr>
      </w:pPr>
    </w:p>
    <w:p w:rsidR="007B4818" w:rsidRDefault="007B4818">
      <w:pPr>
        <w:rPr>
          <w:color w:val="000000" w:themeColor="text1"/>
        </w:rPr>
      </w:pPr>
    </w:p>
    <w:p w:rsidR="007B4818" w:rsidRDefault="007B4818">
      <w:pPr>
        <w:rPr>
          <w:color w:val="000000" w:themeColor="text1"/>
        </w:rPr>
      </w:pPr>
    </w:p>
    <w:p w:rsidR="007B4818" w:rsidRDefault="007B4818">
      <w:pPr>
        <w:rPr>
          <w:color w:val="000000" w:themeColor="text1"/>
        </w:rPr>
      </w:pPr>
    </w:p>
    <w:p w:rsidR="007B4818" w:rsidRDefault="007B4818">
      <w:pPr>
        <w:jc w:val="center"/>
        <w:rPr>
          <w:color w:val="000000" w:themeColor="text1"/>
        </w:rPr>
      </w:pPr>
    </w:p>
    <w:p w:rsidR="007B4818" w:rsidRDefault="007B4818">
      <w:pPr>
        <w:jc w:val="center"/>
        <w:rPr>
          <w:color w:val="000000" w:themeColor="text1"/>
        </w:rPr>
      </w:pPr>
    </w:p>
    <w:p w:rsidR="007B4818" w:rsidRDefault="007B4818">
      <w:pPr>
        <w:jc w:val="center"/>
        <w:rPr>
          <w:color w:val="000000" w:themeColor="text1"/>
        </w:rPr>
      </w:pPr>
    </w:p>
    <w:p w:rsidR="007B4818" w:rsidRDefault="007B4818">
      <w:pPr>
        <w:jc w:val="center"/>
        <w:rPr>
          <w:color w:val="000000" w:themeColor="text1"/>
        </w:rPr>
      </w:pPr>
    </w:p>
    <w:p w:rsidR="007B4818" w:rsidRDefault="00D73177">
      <w:pPr>
        <w:jc w:val="center"/>
        <w:rPr>
          <w:rStyle w:val="af"/>
          <w:rFonts w:ascii="仿宋" w:eastAsia="仿宋" w:hAnsi="仿宋"/>
          <w:color w:val="000000" w:themeColor="text1"/>
          <w:sz w:val="36"/>
          <w:szCs w:val="36"/>
        </w:rPr>
      </w:pPr>
      <w:r>
        <w:rPr>
          <w:rStyle w:val="af"/>
          <w:rFonts w:ascii="仿宋" w:eastAsia="仿宋" w:hAnsi="仿宋" w:hint="eastAsia"/>
          <w:color w:val="000000" w:themeColor="text1"/>
          <w:sz w:val="36"/>
          <w:szCs w:val="36"/>
        </w:rPr>
        <w:t>自然资源部</w:t>
      </w:r>
    </w:p>
    <w:p w:rsidR="007B4818" w:rsidRDefault="00D73177">
      <w:pPr>
        <w:jc w:val="center"/>
        <w:rPr>
          <w:rStyle w:val="af"/>
          <w:rFonts w:ascii="仿宋" w:eastAsia="仿宋" w:hAnsi="仿宋"/>
          <w:bCs/>
          <w:color w:val="000000" w:themeColor="text1"/>
          <w:sz w:val="36"/>
          <w:szCs w:val="36"/>
        </w:rPr>
      </w:pPr>
      <w:r>
        <w:rPr>
          <w:rStyle w:val="af"/>
          <w:rFonts w:ascii="仿宋" w:eastAsia="仿宋" w:hAnsi="仿宋" w:hint="eastAsia"/>
          <w:color w:val="000000" w:themeColor="text1"/>
          <w:sz w:val="36"/>
          <w:szCs w:val="36"/>
        </w:rPr>
        <w:t>2020年9月</w:t>
      </w:r>
    </w:p>
    <w:p w:rsidR="007B4818" w:rsidRDefault="00D73177">
      <w:pPr>
        <w:pStyle w:val="Af3"/>
        <w:jc w:val="center"/>
        <w:rPr>
          <w:color w:val="000000" w:themeColor="text1"/>
        </w:rPr>
      </w:pPr>
      <w:r>
        <w:rPr>
          <w:color w:val="000000" w:themeColor="text1"/>
        </w:rPr>
        <w:br w:type="page"/>
      </w:r>
      <w:bookmarkStart w:id="1" w:name="_Toc23669"/>
      <w:bookmarkStart w:id="2" w:name="_Toc4445171"/>
      <w:bookmarkStart w:id="3" w:name="_Toc7857"/>
      <w:bookmarkStart w:id="4" w:name="_Toc4948513"/>
      <w:bookmarkStart w:id="5" w:name="_Toc2347250"/>
      <w:bookmarkStart w:id="6" w:name="_Toc535339887"/>
      <w:bookmarkStart w:id="7" w:name="_Toc23977"/>
      <w:bookmarkStart w:id="8" w:name="_Toc493262671"/>
      <w:bookmarkStart w:id="9" w:name="_Toc3896564"/>
      <w:bookmarkStart w:id="10" w:name="_Toc534786615"/>
      <w:bookmarkStart w:id="11" w:name="_Toc9585060"/>
      <w:bookmarkStart w:id="12" w:name="_Toc535339977"/>
      <w:bookmarkStart w:id="13" w:name="_Toc11356"/>
      <w:bookmarkStart w:id="14" w:name="_Toc10740"/>
      <w:bookmarkStart w:id="15" w:name="_Toc2106007"/>
      <w:bookmarkStart w:id="16" w:name="_Toc31808"/>
      <w:bookmarkStart w:id="17" w:name="_Toc8631017"/>
      <w:bookmarkStart w:id="18" w:name="_Toc1985795"/>
    </w:p>
    <w:p w:rsidR="007B4818" w:rsidRDefault="00D73177" w:rsidP="00C459DA">
      <w:pPr>
        <w:pStyle w:val="Af3"/>
        <w:spacing w:beforeLines="100" w:afterLines="100"/>
        <w:jc w:val="center"/>
        <w:rPr>
          <w:rFonts w:ascii="黑体" w:hAnsi="黑体"/>
          <w:bCs/>
          <w:color w:val="000000" w:themeColor="text1"/>
          <w:sz w:val="36"/>
          <w:szCs w:val="36"/>
        </w:rPr>
      </w:pPr>
      <w:r>
        <w:rPr>
          <w:rFonts w:ascii="黑体" w:eastAsia="黑体" w:hAnsi="黑体" w:hint="eastAsia"/>
          <w:bCs/>
          <w:color w:val="000000" w:themeColor="text1"/>
          <w:sz w:val="36"/>
          <w:szCs w:val="36"/>
        </w:rPr>
        <w:lastRenderedPageBreak/>
        <w:t>前言</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7B4818" w:rsidRDefault="00D73177">
      <w:pPr>
        <w:pStyle w:val="13"/>
        <w:jc w:val="both"/>
        <w:rPr>
          <w:rFonts w:ascii="仿宋_GB2312"/>
          <w:color w:val="000000" w:themeColor="text1"/>
          <w:sz w:val="32"/>
          <w:szCs w:val="32"/>
        </w:rPr>
      </w:pPr>
      <w:r>
        <w:rPr>
          <w:rFonts w:ascii="仿宋_GB2312" w:hint="eastAsia"/>
          <w:color w:val="000000" w:themeColor="text1"/>
          <w:sz w:val="32"/>
          <w:szCs w:val="32"/>
        </w:rPr>
        <w:t>为贯彻落实《中共中央国务院关于建立国土空间规划体系并监督实施的若干意见》，指导和规范市级国土空间总体规划编制工作，自然资源部在广泛听取各方面意见基础上，按照“多规合一”要求，研究制定了《市级国土空间总体规划编制指南（试行）》。主要内容包括</w:t>
      </w:r>
      <w:r>
        <w:rPr>
          <w:rFonts w:ascii="仿宋_GB2312"/>
          <w:color w:val="000000" w:themeColor="text1"/>
          <w:sz w:val="32"/>
          <w:szCs w:val="32"/>
        </w:rPr>
        <w:t>5</w:t>
      </w:r>
      <w:r>
        <w:rPr>
          <w:rFonts w:ascii="仿宋_GB2312" w:hint="eastAsia"/>
          <w:color w:val="000000" w:themeColor="text1"/>
          <w:sz w:val="32"/>
          <w:szCs w:val="32"/>
        </w:rPr>
        <w:t>部分：总体要求、基础工作、主要编制内容、公众参与和多方协同，以及审查要求。</w:t>
      </w:r>
    </w:p>
    <w:p w:rsidR="007B4818" w:rsidRDefault="00D73177">
      <w:pPr>
        <w:pStyle w:val="13"/>
        <w:jc w:val="both"/>
        <w:rPr>
          <w:color w:val="000000" w:themeColor="text1"/>
          <w:sz w:val="32"/>
          <w:szCs w:val="32"/>
        </w:rPr>
      </w:pPr>
      <w:r>
        <w:rPr>
          <w:rFonts w:hint="eastAsia"/>
          <w:color w:val="000000" w:themeColor="text1"/>
          <w:sz w:val="32"/>
          <w:szCs w:val="32"/>
        </w:rPr>
        <w:t>当前国土空间规划编制尚处于实践探索阶段，本指南侧重提出原则性、导向性要求，待地方实践探索后总结并适时修订。各省、自治区可根据地方实际，补充、细化市级国土空间总体规划编制的内容要求和技术规定，提高针对性和可操作性。</w:t>
      </w:r>
    </w:p>
    <w:p w:rsidR="007B4818" w:rsidRDefault="00D73177">
      <w:pPr>
        <w:pStyle w:val="13"/>
        <w:jc w:val="both"/>
        <w:rPr>
          <w:color w:val="000000" w:themeColor="text1"/>
          <w:sz w:val="32"/>
          <w:szCs w:val="32"/>
        </w:rPr>
      </w:pPr>
      <w:r>
        <w:rPr>
          <w:rFonts w:hint="eastAsia"/>
          <w:color w:val="000000" w:themeColor="text1"/>
          <w:sz w:val="32"/>
          <w:szCs w:val="32"/>
        </w:rPr>
        <w:t>本指南参与起草单位：中国国土勘测规划院、中国城市规划设计研究院、上海同济城市规划设计研究院有限公司、自然资源部城乡规划管理中心、北京大学城市与环境学院、东南大学建筑学院、国家海洋信息中心、广州市规划和自然资源局、南京市规划和自然资源局、厦门市自然资源和规划局、上海市城市规划设计研究院、武汉市规划研究院、北京清华同衡规划设计研究院有限公司、南京市城市与交通规划设计研究院股份有限公司。</w:t>
      </w:r>
    </w:p>
    <w:p w:rsidR="007B4818" w:rsidRDefault="00D73177">
      <w:pPr>
        <w:widowControl/>
        <w:ind w:firstLineChars="200" w:firstLine="560"/>
        <w:rPr>
          <w:rFonts w:ascii="华文中宋" w:eastAsia="黑体" w:hAnsi="华文中宋"/>
          <w:color w:val="000000" w:themeColor="text1"/>
          <w:kern w:val="0"/>
          <w:sz w:val="28"/>
        </w:rPr>
      </w:pPr>
      <w:r>
        <w:rPr>
          <w:rFonts w:ascii="华文中宋" w:eastAsia="黑体" w:hAnsi="华文中宋"/>
          <w:color w:val="000000" w:themeColor="text1"/>
          <w:kern w:val="0"/>
          <w:sz w:val="28"/>
        </w:rPr>
        <w:br w:type="page"/>
      </w:r>
    </w:p>
    <w:sdt>
      <w:sdtPr>
        <w:rPr>
          <w:color w:val="000000" w:themeColor="text1"/>
          <w:lang w:val="zh-CN"/>
        </w:rPr>
        <w:id w:val="-330917576"/>
        <w:docPartObj>
          <w:docPartGallery w:val="Table of Contents"/>
          <w:docPartUnique/>
        </w:docPartObj>
      </w:sdtPr>
      <w:sdtEndPr>
        <w:rPr>
          <w:b/>
          <w:bCs/>
          <w:sz w:val="24"/>
        </w:rPr>
      </w:sdtEndPr>
      <w:sdtContent>
        <w:p w:rsidR="007B4818" w:rsidRDefault="00D73177">
          <w:pPr>
            <w:jc w:val="center"/>
            <w:rPr>
              <w:rFonts w:ascii="黑体" w:eastAsia="黑体" w:hAnsi="黑体"/>
              <w:sz w:val="32"/>
              <w:szCs w:val="32"/>
            </w:rPr>
          </w:pPr>
          <w:r>
            <w:rPr>
              <w:rFonts w:ascii="黑体" w:eastAsia="黑体" w:hAnsi="黑体" w:hint="eastAsia"/>
              <w:sz w:val="32"/>
              <w:szCs w:val="32"/>
            </w:rPr>
            <w:t>目录</w:t>
          </w:r>
        </w:p>
        <w:p w:rsidR="007B4818" w:rsidRDefault="00E87F2F">
          <w:pPr>
            <w:pStyle w:val="10"/>
            <w:tabs>
              <w:tab w:val="right" w:leader="dot" w:pos="8306"/>
            </w:tabs>
          </w:pPr>
          <w:r w:rsidRPr="00E87F2F">
            <w:rPr>
              <w:color w:val="000000" w:themeColor="text1"/>
            </w:rPr>
            <w:fldChar w:fldCharType="begin"/>
          </w:r>
          <w:r w:rsidR="00D73177">
            <w:rPr>
              <w:color w:val="000000" w:themeColor="text1"/>
            </w:rPr>
            <w:instrText xml:space="preserve"> TOC \o "1-3" \h \z \u </w:instrText>
          </w:r>
          <w:r w:rsidRPr="00E87F2F">
            <w:rPr>
              <w:color w:val="000000" w:themeColor="text1"/>
            </w:rPr>
            <w:fldChar w:fldCharType="separate"/>
          </w:r>
          <w:hyperlink w:anchor="_Toc179" w:history="1">
            <w:r w:rsidR="00D73177">
              <w:rPr>
                <w:rFonts w:ascii="黑体" w:hAnsi="黑体" w:hint="eastAsia"/>
                <w:szCs w:val="32"/>
              </w:rPr>
              <w:t xml:space="preserve">1 </w:t>
            </w:r>
            <w:r w:rsidR="00D73177">
              <w:rPr>
                <w:rFonts w:hint="eastAsia"/>
                <w:szCs w:val="32"/>
              </w:rPr>
              <w:t>总体要求</w:t>
            </w:r>
            <w:r w:rsidR="00D73177">
              <w:tab/>
            </w:r>
            <w:r>
              <w:fldChar w:fldCharType="begin"/>
            </w:r>
            <w:r w:rsidR="00D73177">
              <w:instrText xml:space="preserve"> PAGEREF _Toc179 </w:instrText>
            </w:r>
            <w:r>
              <w:fldChar w:fldCharType="separate"/>
            </w:r>
            <w:r w:rsidR="00D73177">
              <w:t>1</w:t>
            </w:r>
            <w:r>
              <w:fldChar w:fldCharType="end"/>
            </w:r>
          </w:hyperlink>
        </w:p>
        <w:p w:rsidR="007B4818" w:rsidRDefault="00E87F2F">
          <w:pPr>
            <w:pStyle w:val="20"/>
            <w:tabs>
              <w:tab w:val="right" w:leader="dot" w:pos="8306"/>
            </w:tabs>
          </w:pPr>
          <w:hyperlink w:anchor="_Toc7876" w:history="1">
            <w:r w:rsidR="00D73177">
              <w:rPr>
                <w:rFonts w:hint="eastAsia"/>
                <w:szCs w:val="32"/>
              </w:rPr>
              <w:t xml:space="preserve">1.1 </w:t>
            </w:r>
            <w:r w:rsidR="00D73177">
              <w:rPr>
                <w:rFonts w:hint="eastAsia"/>
                <w:szCs w:val="32"/>
              </w:rPr>
              <w:t>适用范围</w:t>
            </w:r>
            <w:r w:rsidR="00D73177">
              <w:tab/>
            </w:r>
            <w:r>
              <w:fldChar w:fldCharType="begin"/>
            </w:r>
            <w:r w:rsidR="00D73177">
              <w:instrText xml:space="preserve"> PAGEREF _Toc7876 </w:instrText>
            </w:r>
            <w:r>
              <w:fldChar w:fldCharType="separate"/>
            </w:r>
            <w:r w:rsidR="00D73177">
              <w:t>1</w:t>
            </w:r>
            <w:r>
              <w:fldChar w:fldCharType="end"/>
            </w:r>
          </w:hyperlink>
        </w:p>
        <w:p w:rsidR="007B4818" w:rsidRDefault="00E87F2F">
          <w:pPr>
            <w:pStyle w:val="20"/>
            <w:tabs>
              <w:tab w:val="right" w:leader="dot" w:pos="8306"/>
            </w:tabs>
          </w:pPr>
          <w:hyperlink w:anchor="_Toc21780" w:history="1">
            <w:r w:rsidR="00D73177">
              <w:rPr>
                <w:rFonts w:hint="eastAsia"/>
                <w:szCs w:val="32"/>
              </w:rPr>
              <w:t xml:space="preserve">1.2 </w:t>
            </w:r>
            <w:r w:rsidR="00D73177">
              <w:rPr>
                <w:rFonts w:hint="eastAsia"/>
                <w:szCs w:val="32"/>
              </w:rPr>
              <w:t>规划定位</w:t>
            </w:r>
            <w:r w:rsidR="00D73177">
              <w:tab/>
            </w:r>
            <w:r>
              <w:fldChar w:fldCharType="begin"/>
            </w:r>
            <w:r w:rsidR="00D73177">
              <w:instrText xml:space="preserve"> PAGEREF _Toc21780 </w:instrText>
            </w:r>
            <w:r>
              <w:fldChar w:fldCharType="separate"/>
            </w:r>
            <w:r w:rsidR="00D73177">
              <w:t>1</w:t>
            </w:r>
            <w:r>
              <w:fldChar w:fldCharType="end"/>
            </w:r>
          </w:hyperlink>
        </w:p>
        <w:p w:rsidR="007B4818" w:rsidRDefault="00E87F2F">
          <w:pPr>
            <w:pStyle w:val="20"/>
            <w:tabs>
              <w:tab w:val="right" w:leader="dot" w:pos="8306"/>
            </w:tabs>
          </w:pPr>
          <w:hyperlink w:anchor="_Toc22285" w:history="1">
            <w:r w:rsidR="00D73177">
              <w:rPr>
                <w:rFonts w:hint="eastAsia"/>
                <w:szCs w:val="32"/>
              </w:rPr>
              <w:t xml:space="preserve">1.3 </w:t>
            </w:r>
            <w:r w:rsidR="00D73177">
              <w:rPr>
                <w:rFonts w:hint="eastAsia"/>
                <w:szCs w:val="32"/>
              </w:rPr>
              <w:t>工作原则</w:t>
            </w:r>
            <w:r w:rsidR="00D73177">
              <w:tab/>
            </w:r>
            <w:r>
              <w:fldChar w:fldCharType="begin"/>
            </w:r>
            <w:r w:rsidR="00D73177">
              <w:instrText xml:space="preserve"> PAGEREF _Toc22285 </w:instrText>
            </w:r>
            <w:r>
              <w:fldChar w:fldCharType="separate"/>
            </w:r>
            <w:r w:rsidR="00D73177">
              <w:t>1</w:t>
            </w:r>
            <w:r>
              <w:fldChar w:fldCharType="end"/>
            </w:r>
          </w:hyperlink>
        </w:p>
        <w:p w:rsidR="007B4818" w:rsidRDefault="00E87F2F">
          <w:pPr>
            <w:pStyle w:val="20"/>
            <w:tabs>
              <w:tab w:val="right" w:leader="dot" w:pos="8306"/>
            </w:tabs>
          </w:pPr>
          <w:hyperlink w:anchor="_Toc7963" w:history="1">
            <w:r w:rsidR="00D73177">
              <w:rPr>
                <w:rFonts w:hint="eastAsia"/>
                <w:szCs w:val="32"/>
              </w:rPr>
              <w:t xml:space="preserve">1.4 </w:t>
            </w:r>
            <w:r w:rsidR="00D73177">
              <w:rPr>
                <w:rFonts w:hint="eastAsia"/>
                <w:szCs w:val="32"/>
              </w:rPr>
              <w:t>规划范围、期限和层次</w:t>
            </w:r>
            <w:r w:rsidR="00D73177">
              <w:tab/>
            </w:r>
            <w:r>
              <w:fldChar w:fldCharType="begin"/>
            </w:r>
            <w:r w:rsidR="00D73177">
              <w:instrText xml:space="preserve"> PAGEREF _Toc7963 </w:instrText>
            </w:r>
            <w:r>
              <w:fldChar w:fldCharType="separate"/>
            </w:r>
            <w:r w:rsidR="00D73177">
              <w:t>2</w:t>
            </w:r>
            <w:r>
              <w:fldChar w:fldCharType="end"/>
            </w:r>
          </w:hyperlink>
        </w:p>
        <w:p w:rsidR="007B4818" w:rsidRDefault="00E87F2F">
          <w:pPr>
            <w:pStyle w:val="20"/>
            <w:tabs>
              <w:tab w:val="right" w:leader="dot" w:pos="8306"/>
            </w:tabs>
          </w:pPr>
          <w:hyperlink w:anchor="_Toc26356" w:history="1">
            <w:r w:rsidR="00D73177">
              <w:rPr>
                <w:rFonts w:hint="eastAsia"/>
                <w:szCs w:val="32"/>
              </w:rPr>
              <w:t xml:space="preserve">1.5 </w:t>
            </w:r>
            <w:r w:rsidR="00D73177">
              <w:rPr>
                <w:rFonts w:hint="eastAsia"/>
                <w:szCs w:val="32"/>
              </w:rPr>
              <w:t>编制主体与程序</w:t>
            </w:r>
            <w:r w:rsidR="00D73177">
              <w:tab/>
            </w:r>
            <w:r>
              <w:fldChar w:fldCharType="begin"/>
            </w:r>
            <w:r w:rsidR="00D73177">
              <w:instrText xml:space="preserve"> PAGEREF _Toc26356 </w:instrText>
            </w:r>
            <w:r>
              <w:fldChar w:fldCharType="separate"/>
            </w:r>
            <w:r w:rsidR="00D73177">
              <w:t>3</w:t>
            </w:r>
            <w:r>
              <w:fldChar w:fldCharType="end"/>
            </w:r>
          </w:hyperlink>
        </w:p>
        <w:p w:rsidR="007B4818" w:rsidRDefault="00E87F2F">
          <w:pPr>
            <w:pStyle w:val="20"/>
            <w:tabs>
              <w:tab w:val="right" w:leader="dot" w:pos="8306"/>
            </w:tabs>
          </w:pPr>
          <w:hyperlink w:anchor="_Toc20879" w:history="1">
            <w:r w:rsidR="00D73177">
              <w:rPr>
                <w:rFonts w:hint="eastAsia"/>
                <w:szCs w:val="32"/>
              </w:rPr>
              <w:t xml:space="preserve">1.6 </w:t>
            </w:r>
            <w:r w:rsidR="00D73177">
              <w:rPr>
                <w:rFonts w:hint="eastAsia"/>
                <w:szCs w:val="32"/>
              </w:rPr>
              <w:t>成果形式</w:t>
            </w:r>
            <w:r w:rsidR="00D73177">
              <w:tab/>
            </w:r>
            <w:r>
              <w:fldChar w:fldCharType="begin"/>
            </w:r>
            <w:r w:rsidR="00D73177">
              <w:instrText xml:space="preserve"> PAGEREF _Toc20879 </w:instrText>
            </w:r>
            <w:r>
              <w:fldChar w:fldCharType="separate"/>
            </w:r>
            <w:r w:rsidR="00D73177">
              <w:t>3</w:t>
            </w:r>
            <w:r>
              <w:fldChar w:fldCharType="end"/>
            </w:r>
          </w:hyperlink>
        </w:p>
        <w:p w:rsidR="007B4818" w:rsidRDefault="00E87F2F">
          <w:pPr>
            <w:pStyle w:val="10"/>
            <w:tabs>
              <w:tab w:val="right" w:leader="dot" w:pos="8306"/>
            </w:tabs>
          </w:pPr>
          <w:hyperlink w:anchor="_Toc9401" w:history="1">
            <w:r w:rsidR="00D73177">
              <w:rPr>
                <w:rFonts w:ascii="黑体" w:hAnsi="黑体" w:hint="eastAsia"/>
                <w:szCs w:val="32"/>
              </w:rPr>
              <w:t xml:space="preserve">2 </w:t>
            </w:r>
            <w:r w:rsidR="00D73177">
              <w:rPr>
                <w:rFonts w:hint="eastAsia"/>
                <w:szCs w:val="32"/>
              </w:rPr>
              <w:t>基础</w:t>
            </w:r>
            <w:r w:rsidR="00D73177">
              <w:rPr>
                <w:szCs w:val="32"/>
              </w:rPr>
              <w:t>工作</w:t>
            </w:r>
            <w:r w:rsidR="00D73177">
              <w:tab/>
            </w:r>
            <w:r>
              <w:fldChar w:fldCharType="begin"/>
            </w:r>
            <w:r w:rsidR="00D73177">
              <w:instrText xml:space="preserve"> PAGEREF _Toc9401 </w:instrText>
            </w:r>
            <w:r>
              <w:fldChar w:fldCharType="separate"/>
            </w:r>
            <w:r w:rsidR="00D73177">
              <w:t>3</w:t>
            </w:r>
            <w:r>
              <w:fldChar w:fldCharType="end"/>
            </w:r>
          </w:hyperlink>
        </w:p>
        <w:p w:rsidR="007B4818" w:rsidRDefault="00E87F2F">
          <w:pPr>
            <w:pStyle w:val="20"/>
            <w:tabs>
              <w:tab w:val="right" w:leader="dot" w:pos="8306"/>
            </w:tabs>
          </w:pPr>
          <w:hyperlink w:anchor="_Toc9726" w:history="1">
            <w:r w:rsidR="00D73177">
              <w:rPr>
                <w:rFonts w:hint="eastAsia"/>
                <w:szCs w:val="32"/>
              </w:rPr>
              <w:t xml:space="preserve">2.1 </w:t>
            </w:r>
            <w:r w:rsidR="00D73177">
              <w:rPr>
                <w:rFonts w:hint="eastAsia"/>
                <w:szCs w:val="32"/>
              </w:rPr>
              <w:t>统一底图底数</w:t>
            </w:r>
            <w:r w:rsidR="00D73177">
              <w:tab/>
            </w:r>
            <w:r>
              <w:fldChar w:fldCharType="begin"/>
            </w:r>
            <w:r w:rsidR="00D73177">
              <w:instrText xml:space="preserve"> PAGEREF _Toc9726 </w:instrText>
            </w:r>
            <w:r>
              <w:fldChar w:fldCharType="separate"/>
            </w:r>
            <w:r w:rsidR="00D73177">
              <w:t>3</w:t>
            </w:r>
            <w:r>
              <w:fldChar w:fldCharType="end"/>
            </w:r>
          </w:hyperlink>
        </w:p>
        <w:p w:rsidR="007B4818" w:rsidRDefault="00E87F2F">
          <w:pPr>
            <w:pStyle w:val="20"/>
            <w:tabs>
              <w:tab w:val="right" w:leader="dot" w:pos="8306"/>
            </w:tabs>
          </w:pPr>
          <w:hyperlink w:anchor="_Toc22226" w:history="1">
            <w:r w:rsidR="00D73177">
              <w:rPr>
                <w:rFonts w:hint="eastAsia"/>
                <w:szCs w:val="32"/>
              </w:rPr>
              <w:t xml:space="preserve">2.2 </w:t>
            </w:r>
            <w:r w:rsidR="00D73177">
              <w:rPr>
                <w:rFonts w:hint="eastAsia"/>
                <w:szCs w:val="32"/>
              </w:rPr>
              <w:t>分析自然地理</w:t>
            </w:r>
            <w:r w:rsidR="00D73177">
              <w:rPr>
                <w:szCs w:val="32"/>
              </w:rPr>
              <w:t>格局</w:t>
            </w:r>
            <w:r w:rsidR="00D73177">
              <w:tab/>
            </w:r>
            <w:r>
              <w:fldChar w:fldCharType="begin"/>
            </w:r>
            <w:r w:rsidR="00D73177">
              <w:instrText xml:space="preserve"> PAGEREF _Toc22226 </w:instrText>
            </w:r>
            <w:r>
              <w:fldChar w:fldCharType="separate"/>
            </w:r>
            <w:r w:rsidR="00D73177">
              <w:t>4</w:t>
            </w:r>
            <w:r>
              <w:fldChar w:fldCharType="end"/>
            </w:r>
          </w:hyperlink>
        </w:p>
        <w:p w:rsidR="007B4818" w:rsidRDefault="00E87F2F">
          <w:pPr>
            <w:pStyle w:val="20"/>
            <w:tabs>
              <w:tab w:val="right" w:leader="dot" w:pos="8306"/>
            </w:tabs>
          </w:pPr>
          <w:hyperlink w:anchor="_Toc30622" w:history="1">
            <w:r w:rsidR="00D73177">
              <w:rPr>
                <w:rFonts w:hint="eastAsia"/>
                <w:szCs w:val="32"/>
              </w:rPr>
              <w:t xml:space="preserve">2.3 </w:t>
            </w:r>
            <w:r w:rsidR="00D73177">
              <w:rPr>
                <w:rFonts w:hint="eastAsia"/>
                <w:szCs w:val="32"/>
              </w:rPr>
              <w:t>重视规划实施和灾害风险评估</w:t>
            </w:r>
            <w:r w:rsidR="00D73177">
              <w:tab/>
            </w:r>
            <w:r>
              <w:fldChar w:fldCharType="begin"/>
            </w:r>
            <w:r w:rsidR="00D73177">
              <w:instrText xml:space="preserve"> PAGEREF _Toc30622 </w:instrText>
            </w:r>
            <w:r>
              <w:fldChar w:fldCharType="separate"/>
            </w:r>
            <w:r w:rsidR="00D73177">
              <w:t>4</w:t>
            </w:r>
            <w:r>
              <w:fldChar w:fldCharType="end"/>
            </w:r>
          </w:hyperlink>
        </w:p>
        <w:p w:rsidR="007B4818" w:rsidRDefault="00E87F2F">
          <w:pPr>
            <w:pStyle w:val="20"/>
            <w:tabs>
              <w:tab w:val="right" w:leader="dot" w:pos="8306"/>
            </w:tabs>
          </w:pPr>
          <w:hyperlink w:anchor="_Toc18385" w:history="1">
            <w:r w:rsidR="00D73177">
              <w:rPr>
                <w:rFonts w:hint="eastAsia"/>
                <w:szCs w:val="32"/>
              </w:rPr>
              <w:t xml:space="preserve">2.4 </w:t>
            </w:r>
            <w:r w:rsidR="00D73177">
              <w:rPr>
                <w:rFonts w:hint="eastAsia"/>
                <w:szCs w:val="32"/>
              </w:rPr>
              <w:t>加强重大专题研究</w:t>
            </w:r>
            <w:r w:rsidR="00D73177">
              <w:tab/>
            </w:r>
            <w:r>
              <w:fldChar w:fldCharType="begin"/>
            </w:r>
            <w:r w:rsidR="00D73177">
              <w:instrText xml:space="preserve"> PAGEREF _Toc18385 </w:instrText>
            </w:r>
            <w:r>
              <w:fldChar w:fldCharType="separate"/>
            </w:r>
            <w:r w:rsidR="00D73177">
              <w:t>5</w:t>
            </w:r>
            <w:r>
              <w:fldChar w:fldCharType="end"/>
            </w:r>
          </w:hyperlink>
        </w:p>
        <w:p w:rsidR="007B4818" w:rsidRDefault="00E87F2F">
          <w:pPr>
            <w:pStyle w:val="20"/>
            <w:tabs>
              <w:tab w:val="right" w:leader="dot" w:pos="8306"/>
            </w:tabs>
          </w:pPr>
          <w:hyperlink w:anchor="_Toc6691" w:history="1">
            <w:r w:rsidR="00D73177">
              <w:rPr>
                <w:rFonts w:hint="eastAsia"/>
                <w:szCs w:val="32"/>
              </w:rPr>
              <w:t xml:space="preserve">2.5 </w:t>
            </w:r>
            <w:r w:rsidR="00D73177">
              <w:rPr>
                <w:rFonts w:hint="eastAsia"/>
                <w:szCs w:val="32"/>
              </w:rPr>
              <w:t>开展总体城市设计研究</w:t>
            </w:r>
            <w:r w:rsidR="00D73177">
              <w:tab/>
            </w:r>
            <w:r>
              <w:fldChar w:fldCharType="begin"/>
            </w:r>
            <w:r w:rsidR="00D73177">
              <w:instrText xml:space="preserve"> PAGEREF _Toc6691 </w:instrText>
            </w:r>
            <w:r>
              <w:fldChar w:fldCharType="separate"/>
            </w:r>
            <w:r w:rsidR="00D73177">
              <w:t>5</w:t>
            </w:r>
            <w:r>
              <w:fldChar w:fldCharType="end"/>
            </w:r>
          </w:hyperlink>
        </w:p>
        <w:p w:rsidR="007B4818" w:rsidRDefault="00E87F2F">
          <w:pPr>
            <w:pStyle w:val="10"/>
            <w:tabs>
              <w:tab w:val="right" w:leader="dot" w:pos="8306"/>
            </w:tabs>
          </w:pPr>
          <w:hyperlink w:anchor="_Toc2650" w:history="1">
            <w:r w:rsidR="00D73177">
              <w:rPr>
                <w:rFonts w:ascii="黑体" w:hAnsi="黑体" w:hint="eastAsia"/>
                <w:szCs w:val="32"/>
              </w:rPr>
              <w:t xml:space="preserve">3 </w:t>
            </w:r>
            <w:r w:rsidR="00D73177">
              <w:rPr>
                <w:rFonts w:hint="eastAsia"/>
                <w:szCs w:val="32"/>
              </w:rPr>
              <w:t>主要编制内容</w:t>
            </w:r>
            <w:r w:rsidR="00D73177">
              <w:tab/>
            </w:r>
            <w:r>
              <w:fldChar w:fldCharType="begin"/>
            </w:r>
            <w:r w:rsidR="00D73177">
              <w:instrText xml:space="preserve"> PAGEREF _Toc2650 </w:instrText>
            </w:r>
            <w:r>
              <w:fldChar w:fldCharType="separate"/>
            </w:r>
            <w:r w:rsidR="00D73177">
              <w:t>6</w:t>
            </w:r>
            <w:r>
              <w:fldChar w:fldCharType="end"/>
            </w:r>
          </w:hyperlink>
        </w:p>
        <w:p w:rsidR="007B4818" w:rsidRDefault="00E87F2F">
          <w:pPr>
            <w:pStyle w:val="20"/>
            <w:tabs>
              <w:tab w:val="right" w:leader="dot" w:pos="8306"/>
            </w:tabs>
          </w:pPr>
          <w:hyperlink w:anchor="_Toc13403" w:history="1">
            <w:r w:rsidR="00D73177">
              <w:rPr>
                <w:rFonts w:hint="eastAsia"/>
                <w:szCs w:val="32"/>
              </w:rPr>
              <w:t xml:space="preserve">3.1 </w:t>
            </w:r>
            <w:r w:rsidR="00D73177">
              <w:rPr>
                <w:rFonts w:hint="eastAsia"/>
                <w:szCs w:val="32"/>
              </w:rPr>
              <w:t>落实主体功能定位，明确空间发展目标战略</w:t>
            </w:r>
            <w:r w:rsidR="00D73177">
              <w:tab/>
            </w:r>
            <w:r>
              <w:fldChar w:fldCharType="begin"/>
            </w:r>
            <w:r w:rsidR="00D73177">
              <w:instrText xml:space="preserve"> PAGEREF _Toc13403 </w:instrText>
            </w:r>
            <w:r>
              <w:fldChar w:fldCharType="separate"/>
            </w:r>
            <w:r w:rsidR="00D73177">
              <w:t>6</w:t>
            </w:r>
            <w:r>
              <w:fldChar w:fldCharType="end"/>
            </w:r>
          </w:hyperlink>
        </w:p>
        <w:p w:rsidR="007B4818" w:rsidRDefault="00E87F2F">
          <w:pPr>
            <w:pStyle w:val="20"/>
            <w:tabs>
              <w:tab w:val="right" w:leader="dot" w:pos="8306"/>
            </w:tabs>
          </w:pPr>
          <w:hyperlink w:anchor="_Toc30170" w:history="1">
            <w:r w:rsidR="00D73177">
              <w:rPr>
                <w:rFonts w:hint="eastAsia"/>
                <w:szCs w:val="32"/>
              </w:rPr>
              <w:t xml:space="preserve">3.2 </w:t>
            </w:r>
            <w:r w:rsidR="00D73177">
              <w:rPr>
                <w:rFonts w:hint="eastAsia"/>
                <w:szCs w:val="32"/>
              </w:rPr>
              <w:t>优化空间总体格局，促进区域协调、城乡融合发展</w:t>
            </w:r>
            <w:r w:rsidR="00D73177">
              <w:tab/>
            </w:r>
            <w:r>
              <w:fldChar w:fldCharType="begin"/>
            </w:r>
            <w:r w:rsidR="00D73177">
              <w:instrText xml:space="preserve"> PAGEREF _Toc30170 </w:instrText>
            </w:r>
            <w:r>
              <w:fldChar w:fldCharType="separate"/>
            </w:r>
            <w:r w:rsidR="00D73177">
              <w:t>6</w:t>
            </w:r>
            <w:r>
              <w:fldChar w:fldCharType="end"/>
            </w:r>
          </w:hyperlink>
        </w:p>
        <w:p w:rsidR="007B4818" w:rsidRDefault="00E87F2F">
          <w:pPr>
            <w:pStyle w:val="20"/>
            <w:tabs>
              <w:tab w:val="right" w:leader="dot" w:pos="8306"/>
            </w:tabs>
          </w:pPr>
          <w:hyperlink w:anchor="_Toc9356" w:history="1">
            <w:r w:rsidR="00D73177">
              <w:rPr>
                <w:rFonts w:hint="eastAsia"/>
                <w:szCs w:val="32"/>
              </w:rPr>
              <w:t xml:space="preserve">3.3 </w:t>
            </w:r>
            <w:r w:rsidR="00D73177">
              <w:rPr>
                <w:rFonts w:hint="eastAsia"/>
                <w:szCs w:val="32"/>
              </w:rPr>
              <w:t>强化资源环境底线约束，推进生态优先、绿色发展</w:t>
            </w:r>
            <w:r w:rsidR="00D73177">
              <w:tab/>
            </w:r>
            <w:r>
              <w:fldChar w:fldCharType="begin"/>
            </w:r>
            <w:r w:rsidR="00D73177">
              <w:instrText xml:space="preserve"> PAGEREF _Toc9356 </w:instrText>
            </w:r>
            <w:r>
              <w:fldChar w:fldCharType="separate"/>
            </w:r>
            <w:r w:rsidR="00D73177">
              <w:t>8</w:t>
            </w:r>
            <w:r>
              <w:fldChar w:fldCharType="end"/>
            </w:r>
          </w:hyperlink>
        </w:p>
        <w:p w:rsidR="007B4818" w:rsidRDefault="00E87F2F">
          <w:pPr>
            <w:pStyle w:val="20"/>
            <w:tabs>
              <w:tab w:val="right" w:leader="dot" w:pos="8306"/>
            </w:tabs>
          </w:pPr>
          <w:hyperlink w:anchor="_Toc27099" w:history="1">
            <w:r w:rsidR="00D73177">
              <w:rPr>
                <w:rFonts w:hint="eastAsia"/>
                <w:szCs w:val="32"/>
              </w:rPr>
              <w:t xml:space="preserve">3.4 </w:t>
            </w:r>
            <w:r w:rsidR="00D73177">
              <w:rPr>
                <w:rFonts w:hint="eastAsia"/>
                <w:szCs w:val="32"/>
              </w:rPr>
              <w:t>优化空间结构，提升连通性，促进节约集约、高质量发展</w:t>
            </w:r>
            <w:r w:rsidR="00D73177">
              <w:tab/>
            </w:r>
            <w:r>
              <w:fldChar w:fldCharType="begin"/>
            </w:r>
            <w:r w:rsidR="00D73177">
              <w:instrText xml:space="preserve"> PAGEREF _Toc27099 </w:instrText>
            </w:r>
            <w:r>
              <w:fldChar w:fldCharType="separate"/>
            </w:r>
            <w:r w:rsidR="00D73177">
              <w:t>9</w:t>
            </w:r>
            <w:r>
              <w:fldChar w:fldCharType="end"/>
            </w:r>
          </w:hyperlink>
        </w:p>
        <w:p w:rsidR="007B4818" w:rsidRDefault="00E87F2F">
          <w:pPr>
            <w:pStyle w:val="20"/>
            <w:tabs>
              <w:tab w:val="right" w:leader="dot" w:pos="8306"/>
            </w:tabs>
          </w:pPr>
          <w:hyperlink w:anchor="_Toc25834" w:history="1">
            <w:r w:rsidR="00D73177">
              <w:rPr>
                <w:rFonts w:hint="eastAsia"/>
                <w:szCs w:val="32"/>
              </w:rPr>
              <w:t xml:space="preserve">3.5 </w:t>
            </w:r>
            <w:r w:rsidR="00D73177">
              <w:rPr>
                <w:rFonts w:hint="eastAsia"/>
                <w:szCs w:val="32"/>
              </w:rPr>
              <w:t>完善公共空间和公共服务功能，营造健康、舒适、便利的人居环境</w:t>
            </w:r>
            <w:r w:rsidR="00D73177">
              <w:tab/>
            </w:r>
            <w:r>
              <w:fldChar w:fldCharType="begin"/>
            </w:r>
            <w:r w:rsidR="00D73177">
              <w:instrText xml:space="preserve"> PAGEREF _Toc25834 </w:instrText>
            </w:r>
            <w:r>
              <w:fldChar w:fldCharType="separate"/>
            </w:r>
            <w:r w:rsidR="00D73177">
              <w:t>10</w:t>
            </w:r>
            <w:r>
              <w:fldChar w:fldCharType="end"/>
            </w:r>
          </w:hyperlink>
        </w:p>
        <w:p w:rsidR="007B4818" w:rsidRDefault="00E87F2F">
          <w:pPr>
            <w:pStyle w:val="20"/>
            <w:tabs>
              <w:tab w:val="right" w:leader="dot" w:pos="8306"/>
            </w:tabs>
          </w:pPr>
          <w:hyperlink w:anchor="_Toc5427" w:history="1">
            <w:r w:rsidR="00D73177">
              <w:rPr>
                <w:rFonts w:hint="eastAsia"/>
                <w:szCs w:val="32"/>
              </w:rPr>
              <w:t xml:space="preserve">3.6 </w:t>
            </w:r>
            <w:r w:rsidR="00D73177">
              <w:rPr>
                <w:rFonts w:hint="eastAsia"/>
                <w:szCs w:val="32"/>
              </w:rPr>
              <w:t>保护自然与</w:t>
            </w:r>
            <w:r w:rsidR="00D73177">
              <w:rPr>
                <w:szCs w:val="32"/>
              </w:rPr>
              <w:t>历史文化</w:t>
            </w:r>
            <w:r w:rsidR="00D73177">
              <w:rPr>
                <w:rFonts w:hint="eastAsia"/>
                <w:szCs w:val="32"/>
              </w:rPr>
              <w:t>，塑造具有地域特色</w:t>
            </w:r>
            <w:r w:rsidR="00D73177">
              <w:rPr>
                <w:szCs w:val="32"/>
              </w:rPr>
              <w:t>的城</w:t>
            </w:r>
            <w:r w:rsidR="00D73177">
              <w:rPr>
                <w:rFonts w:hint="eastAsia"/>
                <w:szCs w:val="32"/>
              </w:rPr>
              <w:t>乡</w:t>
            </w:r>
            <w:r w:rsidR="00D73177">
              <w:rPr>
                <w:szCs w:val="32"/>
              </w:rPr>
              <w:t>风貌</w:t>
            </w:r>
            <w:r w:rsidR="00D73177">
              <w:tab/>
            </w:r>
            <w:r>
              <w:fldChar w:fldCharType="begin"/>
            </w:r>
            <w:r w:rsidR="00D73177">
              <w:instrText xml:space="preserve"> PAGEREF _Toc5427 </w:instrText>
            </w:r>
            <w:r>
              <w:fldChar w:fldCharType="separate"/>
            </w:r>
            <w:r w:rsidR="00D73177">
              <w:t>12</w:t>
            </w:r>
            <w:r>
              <w:fldChar w:fldCharType="end"/>
            </w:r>
          </w:hyperlink>
        </w:p>
        <w:p w:rsidR="007B4818" w:rsidRDefault="00E87F2F">
          <w:pPr>
            <w:pStyle w:val="20"/>
            <w:tabs>
              <w:tab w:val="right" w:leader="dot" w:pos="8306"/>
            </w:tabs>
          </w:pPr>
          <w:hyperlink w:anchor="_Toc22694" w:history="1">
            <w:r w:rsidR="00D73177">
              <w:rPr>
                <w:rFonts w:hint="eastAsia"/>
                <w:szCs w:val="32"/>
              </w:rPr>
              <w:t xml:space="preserve">3.7 </w:t>
            </w:r>
            <w:r w:rsidR="00D73177">
              <w:rPr>
                <w:szCs w:val="32"/>
              </w:rPr>
              <w:t>完善</w:t>
            </w:r>
            <w:r w:rsidR="00D73177">
              <w:rPr>
                <w:rFonts w:hint="eastAsia"/>
                <w:szCs w:val="32"/>
              </w:rPr>
              <w:t>基础设施体系，增强城市安全</w:t>
            </w:r>
            <w:r w:rsidR="00D73177">
              <w:rPr>
                <w:szCs w:val="32"/>
              </w:rPr>
              <w:t>韧性</w:t>
            </w:r>
            <w:r w:rsidR="00D73177">
              <w:tab/>
            </w:r>
            <w:r>
              <w:fldChar w:fldCharType="begin"/>
            </w:r>
            <w:r w:rsidR="00D73177">
              <w:instrText xml:space="preserve"> PAGEREF _Toc22694 </w:instrText>
            </w:r>
            <w:r>
              <w:fldChar w:fldCharType="separate"/>
            </w:r>
            <w:r w:rsidR="00D73177">
              <w:t>13</w:t>
            </w:r>
            <w:r>
              <w:fldChar w:fldCharType="end"/>
            </w:r>
          </w:hyperlink>
        </w:p>
        <w:p w:rsidR="007B4818" w:rsidRDefault="00E87F2F">
          <w:pPr>
            <w:pStyle w:val="20"/>
            <w:tabs>
              <w:tab w:val="right" w:leader="dot" w:pos="8306"/>
            </w:tabs>
          </w:pPr>
          <w:hyperlink w:anchor="_Toc10073" w:history="1">
            <w:r w:rsidR="00D73177">
              <w:rPr>
                <w:rFonts w:hint="eastAsia"/>
                <w:szCs w:val="32"/>
              </w:rPr>
              <w:t xml:space="preserve">3.8 </w:t>
            </w:r>
            <w:r w:rsidR="00D73177">
              <w:rPr>
                <w:rFonts w:hint="eastAsia"/>
                <w:szCs w:val="32"/>
              </w:rPr>
              <w:t>推进国土整治修复与城市更新，提升空间综合价值</w:t>
            </w:r>
            <w:r w:rsidR="00D73177">
              <w:tab/>
            </w:r>
            <w:r>
              <w:fldChar w:fldCharType="begin"/>
            </w:r>
            <w:r w:rsidR="00D73177">
              <w:instrText xml:space="preserve"> PAGEREF _Toc10073 </w:instrText>
            </w:r>
            <w:r>
              <w:fldChar w:fldCharType="separate"/>
            </w:r>
            <w:r w:rsidR="00D73177">
              <w:t>14</w:t>
            </w:r>
            <w:r>
              <w:fldChar w:fldCharType="end"/>
            </w:r>
          </w:hyperlink>
        </w:p>
        <w:p w:rsidR="007B4818" w:rsidRDefault="00E87F2F">
          <w:pPr>
            <w:pStyle w:val="20"/>
            <w:tabs>
              <w:tab w:val="right" w:leader="dot" w:pos="8306"/>
            </w:tabs>
          </w:pPr>
          <w:hyperlink w:anchor="_Toc28242" w:history="1">
            <w:r w:rsidR="00D73177">
              <w:rPr>
                <w:rFonts w:hint="eastAsia"/>
                <w:szCs w:val="32"/>
              </w:rPr>
              <w:t xml:space="preserve">3.9 </w:t>
            </w:r>
            <w:r w:rsidR="00D73177">
              <w:rPr>
                <w:rFonts w:hint="eastAsia"/>
                <w:szCs w:val="32"/>
              </w:rPr>
              <w:t>建立</w:t>
            </w:r>
            <w:r w:rsidR="00D73177">
              <w:rPr>
                <w:szCs w:val="32"/>
              </w:rPr>
              <w:t>规划实施保障机制</w:t>
            </w:r>
            <w:r w:rsidR="00D73177">
              <w:rPr>
                <w:rFonts w:hint="eastAsia"/>
                <w:szCs w:val="32"/>
              </w:rPr>
              <w:t>，</w:t>
            </w:r>
            <w:r w:rsidR="00D73177">
              <w:rPr>
                <w:szCs w:val="32"/>
              </w:rPr>
              <w:t>确保一张蓝图干到底</w:t>
            </w:r>
            <w:r w:rsidR="00D73177">
              <w:tab/>
            </w:r>
            <w:r>
              <w:fldChar w:fldCharType="begin"/>
            </w:r>
            <w:r w:rsidR="00D73177">
              <w:instrText xml:space="preserve"> PAGEREF _Toc28242 </w:instrText>
            </w:r>
            <w:r>
              <w:fldChar w:fldCharType="separate"/>
            </w:r>
            <w:r w:rsidR="00D73177">
              <w:t>15</w:t>
            </w:r>
            <w:r>
              <w:fldChar w:fldCharType="end"/>
            </w:r>
          </w:hyperlink>
        </w:p>
        <w:p w:rsidR="007B4818" w:rsidRDefault="00E87F2F">
          <w:pPr>
            <w:pStyle w:val="10"/>
            <w:tabs>
              <w:tab w:val="right" w:leader="dot" w:pos="8306"/>
            </w:tabs>
          </w:pPr>
          <w:hyperlink w:anchor="_Toc17822" w:history="1">
            <w:r w:rsidR="00D73177">
              <w:rPr>
                <w:rFonts w:ascii="黑体" w:hAnsi="黑体" w:hint="eastAsia"/>
                <w:szCs w:val="32"/>
              </w:rPr>
              <w:t xml:space="preserve">4 </w:t>
            </w:r>
            <w:r w:rsidR="00D73177">
              <w:rPr>
                <w:rFonts w:hint="eastAsia"/>
                <w:szCs w:val="32"/>
              </w:rPr>
              <w:t>公众参与和多方协</w:t>
            </w:r>
            <w:r w:rsidR="00D73177">
              <w:rPr>
                <w:szCs w:val="32"/>
              </w:rPr>
              <w:t>同</w:t>
            </w:r>
            <w:r w:rsidR="00D73177">
              <w:tab/>
            </w:r>
            <w:r>
              <w:fldChar w:fldCharType="begin"/>
            </w:r>
            <w:r w:rsidR="00D73177">
              <w:instrText xml:space="preserve"> PAGEREF _Toc17822 </w:instrText>
            </w:r>
            <w:r>
              <w:fldChar w:fldCharType="separate"/>
            </w:r>
            <w:r w:rsidR="00D73177">
              <w:t>17</w:t>
            </w:r>
            <w:r>
              <w:fldChar w:fldCharType="end"/>
            </w:r>
          </w:hyperlink>
        </w:p>
        <w:p w:rsidR="007B4818" w:rsidRDefault="00E87F2F">
          <w:pPr>
            <w:pStyle w:val="10"/>
            <w:tabs>
              <w:tab w:val="right" w:leader="dot" w:pos="8306"/>
            </w:tabs>
          </w:pPr>
          <w:hyperlink w:anchor="_Toc10946" w:history="1">
            <w:r w:rsidR="00D73177">
              <w:rPr>
                <w:rFonts w:ascii="黑体" w:hAnsi="黑体" w:hint="eastAsia"/>
                <w:szCs w:val="32"/>
              </w:rPr>
              <w:t xml:space="preserve">5 </w:t>
            </w:r>
            <w:r w:rsidR="00D73177">
              <w:rPr>
                <w:rFonts w:hint="eastAsia"/>
                <w:szCs w:val="32"/>
              </w:rPr>
              <w:t>审查要求</w:t>
            </w:r>
            <w:r w:rsidR="00D73177">
              <w:tab/>
            </w:r>
            <w:r>
              <w:fldChar w:fldCharType="begin"/>
            </w:r>
            <w:r w:rsidR="00D73177">
              <w:instrText xml:space="preserve"> PAGEREF _Toc10946 </w:instrText>
            </w:r>
            <w:r>
              <w:fldChar w:fldCharType="separate"/>
            </w:r>
            <w:r w:rsidR="00D73177">
              <w:t>17</w:t>
            </w:r>
            <w:r>
              <w:fldChar w:fldCharType="end"/>
            </w:r>
          </w:hyperlink>
        </w:p>
        <w:p w:rsidR="007B4818" w:rsidRDefault="00E87F2F">
          <w:pPr>
            <w:pStyle w:val="10"/>
            <w:tabs>
              <w:tab w:val="right" w:leader="dot" w:pos="8306"/>
            </w:tabs>
          </w:pPr>
          <w:hyperlink w:anchor="_Toc11055" w:history="1">
            <w:r w:rsidR="00D73177">
              <w:rPr>
                <w:rFonts w:hint="eastAsia"/>
                <w:szCs w:val="32"/>
              </w:rPr>
              <w:t>附录</w:t>
            </w:r>
            <w:r w:rsidR="00D73177">
              <w:rPr>
                <w:szCs w:val="32"/>
              </w:rPr>
              <w:t xml:space="preserve">A  </w:t>
            </w:r>
            <w:r w:rsidR="00D73177">
              <w:rPr>
                <w:rFonts w:hint="eastAsia"/>
                <w:szCs w:val="32"/>
              </w:rPr>
              <w:t>名词解释和说明</w:t>
            </w:r>
            <w:r w:rsidR="00D73177">
              <w:tab/>
            </w:r>
            <w:r>
              <w:fldChar w:fldCharType="begin"/>
            </w:r>
            <w:r w:rsidR="00D73177">
              <w:instrText xml:space="preserve"> PAGEREF _Toc11055 </w:instrText>
            </w:r>
            <w:r>
              <w:fldChar w:fldCharType="separate"/>
            </w:r>
            <w:r w:rsidR="00D73177">
              <w:t>18</w:t>
            </w:r>
            <w:r>
              <w:fldChar w:fldCharType="end"/>
            </w:r>
          </w:hyperlink>
        </w:p>
        <w:p w:rsidR="007B4818" w:rsidRDefault="00E87F2F">
          <w:pPr>
            <w:pStyle w:val="10"/>
            <w:tabs>
              <w:tab w:val="right" w:leader="dot" w:pos="8306"/>
            </w:tabs>
          </w:pPr>
          <w:hyperlink w:anchor="_Toc1931" w:history="1">
            <w:r w:rsidR="00D73177">
              <w:rPr>
                <w:rFonts w:hint="eastAsia"/>
                <w:szCs w:val="32"/>
              </w:rPr>
              <w:t>附录</w:t>
            </w:r>
            <w:r w:rsidR="00D73177">
              <w:rPr>
                <w:szCs w:val="32"/>
              </w:rPr>
              <w:t xml:space="preserve">B  </w:t>
            </w:r>
            <w:r w:rsidR="00D73177">
              <w:rPr>
                <w:rFonts w:hint="eastAsia"/>
                <w:szCs w:val="32"/>
              </w:rPr>
              <w:t>规划分区</w:t>
            </w:r>
            <w:r w:rsidR="00D73177">
              <w:tab/>
            </w:r>
            <w:r>
              <w:fldChar w:fldCharType="begin"/>
            </w:r>
            <w:r w:rsidR="00D73177">
              <w:instrText xml:space="preserve"> PAGEREF _Toc1931 </w:instrText>
            </w:r>
            <w:r>
              <w:fldChar w:fldCharType="separate"/>
            </w:r>
            <w:r w:rsidR="00D73177">
              <w:t>21</w:t>
            </w:r>
            <w:r>
              <w:fldChar w:fldCharType="end"/>
            </w:r>
          </w:hyperlink>
        </w:p>
        <w:p w:rsidR="007B4818" w:rsidRDefault="00E87F2F">
          <w:pPr>
            <w:pStyle w:val="10"/>
            <w:tabs>
              <w:tab w:val="right" w:leader="dot" w:pos="8306"/>
            </w:tabs>
          </w:pPr>
          <w:hyperlink w:anchor="_Toc20988" w:history="1">
            <w:r w:rsidR="00D73177">
              <w:rPr>
                <w:szCs w:val="32"/>
              </w:rPr>
              <w:t>附录</w:t>
            </w:r>
            <w:r w:rsidR="00D73177">
              <w:rPr>
                <w:szCs w:val="32"/>
              </w:rPr>
              <w:t xml:space="preserve">C  </w:t>
            </w:r>
            <w:r w:rsidR="00D73177">
              <w:rPr>
                <w:rFonts w:hint="eastAsia"/>
                <w:szCs w:val="32"/>
              </w:rPr>
              <w:t>规划图件目录</w:t>
            </w:r>
            <w:r w:rsidR="00D73177">
              <w:tab/>
            </w:r>
            <w:r>
              <w:fldChar w:fldCharType="begin"/>
            </w:r>
            <w:r w:rsidR="00D73177">
              <w:instrText xml:space="preserve"> PAGEREF _Toc20988 </w:instrText>
            </w:r>
            <w:r>
              <w:fldChar w:fldCharType="separate"/>
            </w:r>
            <w:r w:rsidR="00D73177">
              <w:t>24</w:t>
            </w:r>
            <w:r>
              <w:fldChar w:fldCharType="end"/>
            </w:r>
          </w:hyperlink>
        </w:p>
        <w:p w:rsidR="007B4818" w:rsidRDefault="00E87F2F">
          <w:pPr>
            <w:pStyle w:val="10"/>
            <w:tabs>
              <w:tab w:val="right" w:leader="dot" w:pos="8306"/>
            </w:tabs>
          </w:pPr>
          <w:hyperlink w:anchor="_Toc10952" w:history="1">
            <w:r w:rsidR="00D73177">
              <w:rPr>
                <w:szCs w:val="32"/>
              </w:rPr>
              <w:t>附录</w:t>
            </w:r>
            <w:r w:rsidR="00D73177">
              <w:rPr>
                <w:szCs w:val="32"/>
              </w:rPr>
              <w:t xml:space="preserve">D  </w:t>
            </w:r>
            <w:r w:rsidR="00D73177">
              <w:rPr>
                <w:rFonts w:hint="eastAsia"/>
                <w:szCs w:val="32"/>
              </w:rPr>
              <w:t>规划文本附表</w:t>
            </w:r>
            <w:r w:rsidR="00D73177">
              <w:tab/>
            </w:r>
            <w:r>
              <w:fldChar w:fldCharType="begin"/>
            </w:r>
            <w:r w:rsidR="00D73177">
              <w:instrText xml:space="preserve"> PAGEREF _Toc10952 </w:instrText>
            </w:r>
            <w:r>
              <w:fldChar w:fldCharType="separate"/>
            </w:r>
            <w:r w:rsidR="00D73177">
              <w:t>26</w:t>
            </w:r>
            <w:r>
              <w:fldChar w:fldCharType="end"/>
            </w:r>
          </w:hyperlink>
        </w:p>
        <w:p w:rsidR="007B4818" w:rsidRDefault="00E87F2F">
          <w:pPr>
            <w:pStyle w:val="10"/>
            <w:tabs>
              <w:tab w:val="right" w:leader="dot" w:pos="8306"/>
            </w:tabs>
          </w:pPr>
          <w:hyperlink w:anchor="_Toc13304" w:history="1">
            <w:r w:rsidR="00D73177">
              <w:rPr>
                <w:rFonts w:hint="eastAsia"/>
                <w:szCs w:val="32"/>
              </w:rPr>
              <w:t>附录</w:t>
            </w:r>
            <w:r w:rsidR="00D73177">
              <w:rPr>
                <w:szCs w:val="32"/>
              </w:rPr>
              <w:t xml:space="preserve">E  </w:t>
            </w:r>
            <w:r w:rsidR="00D73177">
              <w:rPr>
                <w:rFonts w:hint="eastAsia"/>
                <w:szCs w:val="32"/>
              </w:rPr>
              <w:t>规划指标体系</w:t>
            </w:r>
            <w:r w:rsidR="00D73177">
              <w:tab/>
            </w:r>
            <w:r>
              <w:fldChar w:fldCharType="begin"/>
            </w:r>
            <w:r w:rsidR="00D73177">
              <w:instrText xml:space="preserve"> PAGEREF _Toc13304 </w:instrText>
            </w:r>
            <w:r>
              <w:fldChar w:fldCharType="separate"/>
            </w:r>
            <w:r w:rsidR="00D73177">
              <w:t>29</w:t>
            </w:r>
            <w:r>
              <w:fldChar w:fldCharType="end"/>
            </w:r>
          </w:hyperlink>
        </w:p>
        <w:p w:rsidR="007B4818" w:rsidRDefault="00E87F2F">
          <w:pPr>
            <w:pStyle w:val="10"/>
            <w:tabs>
              <w:tab w:val="right" w:leader="dot" w:pos="8306"/>
            </w:tabs>
          </w:pPr>
          <w:hyperlink w:anchor="_Toc27097" w:history="1">
            <w:r w:rsidR="00D73177">
              <w:rPr>
                <w:rFonts w:hint="eastAsia"/>
                <w:szCs w:val="32"/>
              </w:rPr>
              <w:t>附录</w:t>
            </w:r>
            <w:r w:rsidR="00D73177">
              <w:rPr>
                <w:szCs w:val="32"/>
              </w:rPr>
              <w:t xml:space="preserve">F  </w:t>
            </w:r>
            <w:r w:rsidR="00D73177">
              <w:rPr>
                <w:rFonts w:hint="eastAsia"/>
                <w:szCs w:val="32"/>
              </w:rPr>
              <w:t>强制性内容</w:t>
            </w:r>
            <w:r w:rsidR="00D73177">
              <w:tab/>
            </w:r>
            <w:r>
              <w:fldChar w:fldCharType="begin"/>
            </w:r>
            <w:r w:rsidR="00D73177">
              <w:instrText xml:space="preserve"> PAGEREF _Toc27097 </w:instrText>
            </w:r>
            <w:r>
              <w:fldChar w:fldCharType="separate"/>
            </w:r>
            <w:r w:rsidR="00D73177">
              <w:t>34</w:t>
            </w:r>
            <w:r>
              <w:fldChar w:fldCharType="end"/>
            </w:r>
          </w:hyperlink>
        </w:p>
        <w:p w:rsidR="007B4818" w:rsidRDefault="00E87F2F">
          <w:pPr>
            <w:pStyle w:val="10"/>
            <w:tabs>
              <w:tab w:val="right" w:leader="dot" w:pos="8306"/>
            </w:tabs>
          </w:pPr>
          <w:hyperlink w:anchor="_Toc28504" w:history="1">
            <w:r w:rsidR="00D73177">
              <w:rPr>
                <w:rFonts w:hint="eastAsia"/>
                <w:szCs w:val="32"/>
              </w:rPr>
              <w:t>附录</w:t>
            </w:r>
            <w:r w:rsidR="00D73177">
              <w:rPr>
                <w:rFonts w:hint="eastAsia"/>
                <w:szCs w:val="32"/>
              </w:rPr>
              <w:t>G</w:t>
            </w:r>
            <w:r w:rsidR="00D73177">
              <w:rPr>
                <w:rFonts w:hint="eastAsia"/>
                <w:szCs w:val="32"/>
              </w:rPr>
              <w:t>城镇开发边界划定要求</w:t>
            </w:r>
            <w:r w:rsidR="00D73177">
              <w:tab/>
            </w:r>
            <w:r>
              <w:fldChar w:fldCharType="begin"/>
            </w:r>
            <w:r w:rsidR="00D73177">
              <w:instrText xml:space="preserve"> PAGEREF _Toc28504 </w:instrText>
            </w:r>
            <w:r>
              <w:fldChar w:fldCharType="separate"/>
            </w:r>
            <w:r w:rsidR="00D73177">
              <w:t>35</w:t>
            </w:r>
            <w:r>
              <w:fldChar w:fldCharType="end"/>
            </w:r>
          </w:hyperlink>
        </w:p>
        <w:p w:rsidR="007B4818" w:rsidRDefault="00E87F2F">
          <w:pPr>
            <w:spacing w:line="360" w:lineRule="auto"/>
            <w:rPr>
              <w:color w:val="000000" w:themeColor="text1"/>
              <w:sz w:val="24"/>
            </w:rPr>
          </w:pPr>
          <w:r>
            <w:rPr>
              <w:color w:val="000000" w:themeColor="text1"/>
            </w:rPr>
            <w:fldChar w:fldCharType="end"/>
          </w:r>
        </w:p>
      </w:sdtContent>
    </w:sdt>
    <w:p w:rsidR="007B4818" w:rsidRDefault="007B4818">
      <w:pPr>
        <w:rPr>
          <w:color w:val="000000" w:themeColor="text1"/>
        </w:rPr>
      </w:pPr>
    </w:p>
    <w:p w:rsidR="007B4818" w:rsidRDefault="007B4818">
      <w:pPr>
        <w:rPr>
          <w:color w:val="000000" w:themeColor="text1"/>
        </w:rPr>
      </w:pPr>
    </w:p>
    <w:p w:rsidR="007B4818" w:rsidRDefault="007B4818">
      <w:pPr>
        <w:rPr>
          <w:color w:val="000000" w:themeColor="text1"/>
        </w:rPr>
      </w:pPr>
    </w:p>
    <w:p w:rsidR="007B4818" w:rsidRDefault="007B4818">
      <w:pPr>
        <w:rPr>
          <w:color w:val="000000" w:themeColor="text1"/>
        </w:rPr>
        <w:sectPr w:rsidR="007B4818">
          <w:footerReference w:type="default" r:id="rId9"/>
          <w:pgSz w:w="11906" w:h="16838"/>
          <w:pgMar w:top="1440" w:right="1800" w:bottom="1440" w:left="1800" w:header="851" w:footer="992" w:gutter="0"/>
          <w:cols w:space="425"/>
          <w:docGrid w:type="lines" w:linePitch="312"/>
        </w:sectPr>
      </w:pPr>
    </w:p>
    <w:p w:rsidR="007B4818" w:rsidRDefault="00D73177">
      <w:pPr>
        <w:pStyle w:val="1"/>
        <w:spacing w:line="240" w:lineRule="auto"/>
        <w:jc w:val="both"/>
        <w:rPr>
          <w:color w:val="000000" w:themeColor="text1"/>
          <w:szCs w:val="32"/>
        </w:rPr>
      </w:pPr>
      <w:bookmarkStart w:id="19" w:name="_Toc38876594"/>
      <w:bookmarkStart w:id="20" w:name="_Toc44611563"/>
      <w:bookmarkStart w:id="21" w:name="_Toc5199"/>
      <w:bookmarkStart w:id="22" w:name="_Toc8441"/>
      <w:bookmarkStart w:id="23" w:name="_Toc21711"/>
      <w:bookmarkStart w:id="24" w:name="_Toc1163"/>
      <w:bookmarkStart w:id="25" w:name="_Toc179"/>
      <w:bookmarkStart w:id="26" w:name="_Toc38982740"/>
      <w:bookmarkStart w:id="27" w:name="_Toc33207266"/>
      <w:r>
        <w:rPr>
          <w:rFonts w:hint="eastAsia"/>
          <w:color w:val="000000" w:themeColor="text1"/>
          <w:szCs w:val="32"/>
        </w:rPr>
        <w:t>总体要求</w:t>
      </w:r>
      <w:bookmarkEnd w:id="19"/>
      <w:bookmarkEnd w:id="20"/>
      <w:bookmarkEnd w:id="21"/>
      <w:bookmarkEnd w:id="22"/>
      <w:bookmarkEnd w:id="23"/>
      <w:bookmarkEnd w:id="24"/>
      <w:bookmarkEnd w:id="25"/>
    </w:p>
    <w:p w:rsidR="007B4818" w:rsidRDefault="00D73177">
      <w:pPr>
        <w:pStyle w:val="2"/>
        <w:ind w:leftChars="-1" w:left="-2" w:firstLine="0"/>
        <w:jc w:val="both"/>
        <w:rPr>
          <w:b/>
          <w:bCs w:val="0"/>
          <w:color w:val="000000" w:themeColor="text1"/>
          <w:szCs w:val="32"/>
        </w:rPr>
      </w:pPr>
      <w:bookmarkStart w:id="28" w:name="_Toc20021"/>
      <w:bookmarkStart w:id="29" w:name="_Toc7876"/>
      <w:bookmarkStart w:id="30" w:name="_Toc29151"/>
      <w:bookmarkStart w:id="31" w:name="_Toc38876595"/>
      <w:bookmarkStart w:id="32" w:name="_Toc24736"/>
      <w:bookmarkStart w:id="33" w:name="_Toc18777"/>
      <w:bookmarkStart w:id="34" w:name="_Toc44611564"/>
      <w:bookmarkStart w:id="35" w:name="_Toc44441614"/>
      <w:bookmarkStart w:id="36" w:name="_Toc33207267"/>
      <w:bookmarkStart w:id="37" w:name="_Toc38876597"/>
      <w:bookmarkStart w:id="38" w:name="_Toc41572232"/>
      <w:bookmarkStart w:id="39" w:name="_Toc33207269"/>
      <w:bookmarkStart w:id="40" w:name="_Toc38982745"/>
      <w:bookmarkEnd w:id="26"/>
      <w:r>
        <w:rPr>
          <w:rFonts w:hint="eastAsia"/>
          <w:b/>
          <w:bCs w:val="0"/>
          <w:color w:val="000000" w:themeColor="text1"/>
          <w:szCs w:val="32"/>
        </w:rPr>
        <w:t>适用范围</w:t>
      </w:r>
      <w:bookmarkEnd w:id="28"/>
      <w:bookmarkEnd w:id="29"/>
      <w:bookmarkEnd w:id="30"/>
      <w:bookmarkEnd w:id="31"/>
      <w:bookmarkEnd w:id="32"/>
      <w:bookmarkEnd w:id="33"/>
      <w:bookmarkEnd w:id="34"/>
      <w:bookmarkEnd w:id="35"/>
      <w:bookmarkEnd w:id="36"/>
    </w:p>
    <w:p w:rsidR="007B4818" w:rsidRDefault="00D73177">
      <w:pPr>
        <w:pStyle w:val="af2"/>
        <w:ind w:firstLine="640"/>
        <w:rPr>
          <w:rFonts w:ascii="Times New Roman" w:eastAsia="仿宋_GB2312"/>
          <w:color w:val="000000" w:themeColor="text1"/>
          <w:sz w:val="32"/>
          <w:szCs w:val="32"/>
        </w:rPr>
      </w:pPr>
      <w:bookmarkStart w:id="41" w:name="_Toc38876596"/>
      <w:bookmarkStart w:id="42" w:name="_Toc44441615"/>
      <w:bookmarkStart w:id="43" w:name="_Toc33207268"/>
      <w:r>
        <w:rPr>
          <w:rFonts w:ascii="Times New Roman" w:eastAsia="仿宋_GB2312" w:hint="eastAsia"/>
          <w:color w:val="000000" w:themeColor="text1"/>
          <w:sz w:val="32"/>
          <w:szCs w:val="32"/>
        </w:rPr>
        <w:t>本指南适用于市级（包括副省级和地级城市）国土空间总体规划（以下简称市级总规）编制。地区、州、</w:t>
      </w:r>
      <w:r>
        <w:rPr>
          <w:rFonts w:ascii="Times New Roman" w:eastAsia="仿宋_GB2312"/>
          <w:color w:val="000000" w:themeColor="text1"/>
          <w:sz w:val="32"/>
          <w:szCs w:val="32"/>
        </w:rPr>
        <w:t>盟</w:t>
      </w:r>
      <w:r>
        <w:rPr>
          <w:rFonts w:ascii="Times New Roman" w:eastAsia="仿宋_GB2312" w:hint="eastAsia"/>
          <w:color w:val="000000" w:themeColor="text1"/>
          <w:sz w:val="32"/>
          <w:szCs w:val="32"/>
        </w:rPr>
        <w:t>可参照执行。直辖市可结合本指南和《省级国土空间规划编制指南</w:t>
      </w:r>
      <w:r>
        <w:rPr>
          <w:rFonts w:ascii="Times New Roman" w:eastAsia="仿宋_GB2312"/>
          <w:color w:val="000000" w:themeColor="text1"/>
          <w:sz w:val="32"/>
          <w:szCs w:val="32"/>
        </w:rPr>
        <w:t>》（试行）</w:t>
      </w:r>
      <w:r>
        <w:rPr>
          <w:rFonts w:ascii="Times New Roman" w:eastAsia="仿宋_GB2312" w:hint="eastAsia"/>
          <w:color w:val="000000" w:themeColor="text1"/>
          <w:sz w:val="32"/>
          <w:szCs w:val="32"/>
        </w:rPr>
        <w:t>有关要求编制。</w:t>
      </w:r>
    </w:p>
    <w:p w:rsidR="007B4818" w:rsidRDefault="00D73177">
      <w:pPr>
        <w:pStyle w:val="2"/>
        <w:ind w:leftChars="-1" w:left="-2" w:firstLine="0"/>
        <w:jc w:val="both"/>
        <w:rPr>
          <w:b/>
          <w:bCs w:val="0"/>
          <w:color w:val="000000" w:themeColor="text1"/>
          <w:szCs w:val="32"/>
        </w:rPr>
      </w:pPr>
      <w:bookmarkStart w:id="44" w:name="_Toc21780"/>
      <w:bookmarkStart w:id="45" w:name="_Toc25382"/>
      <w:bookmarkStart w:id="46" w:name="_Toc44611565"/>
      <w:bookmarkStart w:id="47" w:name="_Toc3676"/>
      <w:bookmarkStart w:id="48" w:name="_Toc25764"/>
      <w:bookmarkStart w:id="49" w:name="_Toc11052"/>
      <w:r>
        <w:rPr>
          <w:rFonts w:hint="eastAsia"/>
          <w:b/>
          <w:bCs w:val="0"/>
          <w:color w:val="000000" w:themeColor="text1"/>
          <w:szCs w:val="32"/>
        </w:rPr>
        <w:t>规划定位</w:t>
      </w:r>
      <w:bookmarkEnd w:id="41"/>
      <w:bookmarkEnd w:id="42"/>
      <w:bookmarkEnd w:id="43"/>
      <w:bookmarkEnd w:id="44"/>
      <w:bookmarkEnd w:id="45"/>
      <w:bookmarkEnd w:id="46"/>
      <w:bookmarkEnd w:id="47"/>
      <w:bookmarkEnd w:id="48"/>
      <w:bookmarkEnd w:id="49"/>
    </w:p>
    <w:p w:rsidR="007B4818" w:rsidRDefault="00D73177">
      <w:pPr>
        <w:pStyle w:val="af2"/>
        <w:ind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市级总规是城市为实现“两个一百年”奋斗目标制定的空间发展蓝图和战略部署，是城市落实新发展理念，实施高效能空间治理，促进高质量发展和高品质生活的空间政策，是市域国土空间保护、开发、利用、修复和指导各类建设的行动纲领。市级总规要体现综合性、战略性、协调性、基础性和约束性，落实和深化上位规划要求，为编制下位国土空间总体规划、详细规划、相关专项规划和开展各类开发保护建设活动、实施国土空间用途管制提供基本依据。</w:t>
      </w:r>
    </w:p>
    <w:p w:rsidR="007B4818" w:rsidRDefault="00D73177">
      <w:pPr>
        <w:pStyle w:val="2"/>
        <w:ind w:leftChars="-1" w:left="-2" w:firstLine="0"/>
        <w:jc w:val="both"/>
        <w:rPr>
          <w:b/>
          <w:bCs w:val="0"/>
          <w:color w:val="000000" w:themeColor="text1"/>
          <w:szCs w:val="32"/>
        </w:rPr>
      </w:pPr>
      <w:bookmarkStart w:id="50" w:name="_Toc44611566"/>
      <w:bookmarkStart w:id="51" w:name="_Toc14492"/>
      <w:bookmarkStart w:id="52" w:name="_Toc31676"/>
      <w:bookmarkStart w:id="53" w:name="_Toc31233"/>
      <w:bookmarkStart w:id="54" w:name="_Toc25755"/>
      <w:bookmarkStart w:id="55" w:name="_Toc22285"/>
      <w:r>
        <w:rPr>
          <w:rFonts w:hint="eastAsia"/>
          <w:b/>
          <w:bCs w:val="0"/>
          <w:color w:val="000000" w:themeColor="text1"/>
          <w:szCs w:val="32"/>
        </w:rPr>
        <w:t>工作原则</w:t>
      </w:r>
      <w:bookmarkEnd w:id="37"/>
      <w:bookmarkEnd w:id="38"/>
      <w:bookmarkEnd w:id="50"/>
      <w:bookmarkEnd w:id="51"/>
      <w:bookmarkEnd w:id="52"/>
      <w:bookmarkEnd w:id="53"/>
      <w:bookmarkEnd w:id="54"/>
      <w:bookmarkEnd w:id="55"/>
    </w:p>
    <w:p w:rsidR="007B4818" w:rsidRDefault="00D73177">
      <w:pPr>
        <w:widowControl/>
        <w:ind w:firstLine="480"/>
        <w:rPr>
          <w:rFonts w:ascii="Times New Roman" w:eastAsia="仿宋_GB2312"/>
          <w:color w:val="000000" w:themeColor="text1"/>
          <w:sz w:val="32"/>
          <w:szCs w:val="32"/>
        </w:rPr>
      </w:pPr>
      <w:r>
        <w:rPr>
          <w:rFonts w:ascii="Times New Roman" w:eastAsia="仿宋_GB2312" w:hint="eastAsia"/>
          <w:color w:val="000000" w:themeColor="text1"/>
          <w:sz w:val="32"/>
          <w:szCs w:val="32"/>
        </w:rPr>
        <w:t>（</w:t>
      </w:r>
      <w:r>
        <w:rPr>
          <w:rFonts w:ascii="Times New Roman" w:eastAsia="仿宋_GB2312"/>
          <w:color w:val="000000" w:themeColor="text1"/>
          <w:sz w:val="32"/>
          <w:szCs w:val="32"/>
        </w:rPr>
        <w:t>1</w:t>
      </w:r>
      <w:r>
        <w:rPr>
          <w:rFonts w:ascii="Times New Roman" w:eastAsia="仿宋_GB2312" w:hint="eastAsia"/>
          <w:color w:val="000000" w:themeColor="text1"/>
          <w:sz w:val="32"/>
          <w:szCs w:val="32"/>
        </w:rPr>
        <w:t>）</w:t>
      </w:r>
      <w:r>
        <w:rPr>
          <w:rFonts w:ascii="Times New Roman" w:eastAsia="仿宋_GB2312" w:hint="eastAsia"/>
          <w:b/>
          <w:bCs/>
          <w:color w:val="000000" w:themeColor="text1"/>
          <w:sz w:val="32"/>
          <w:szCs w:val="32"/>
        </w:rPr>
        <w:t>贯彻新时代新要求</w:t>
      </w:r>
    </w:p>
    <w:bookmarkEnd w:id="39"/>
    <w:p w:rsidR="007B4818" w:rsidRDefault="00D73177">
      <w:pPr>
        <w:pStyle w:val="af2"/>
        <w:ind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坚持以人民为中心的发展思想，从社会全面进步和人的全面发展出发，塑造高品质城乡人居环境，不断提升人民群众的获得感、幸福感、安全感；坚持底线思维，在生态文明思想和总体国家安全观指导下编制规划，将城市作为有机生命体，探索内涵式、集约型、绿色化的高质量发展新路子，推动形成绿色发展方式和生活方式，增强城市韧性和可持续发展的竞争力；坚持陆海统筹、区域协同、城乡融合，落实区域协调发展、新型城镇化、乡村振兴、可持续发展和主体功能区等国家战略；坚持一切从实际出发，立足本地自然和人文禀赋以及发展特征，发挥比较优势，因地制宜开展规划编制工作，突出地域特点、文化特色、时代特征。</w:t>
      </w:r>
    </w:p>
    <w:p w:rsidR="007B4818" w:rsidRDefault="00D73177">
      <w:pPr>
        <w:widowControl/>
        <w:ind w:firstLine="480"/>
        <w:rPr>
          <w:rFonts w:ascii="Times New Roman" w:eastAsia="仿宋_GB2312"/>
          <w:b/>
          <w:bCs/>
          <w:color w:val="000000" w:themeColor="text1"/>
          <w:sz w:val="32"/>
          <w:szCs w:val="32"/>
        </w:rPr>
      </w:pPr>
      <w:r>
        <w:rPr>
          <w:rFonts w:ascii="Times New Roman" w:eastAsia="仿宋_GB2312" w:hint="eastAsia"/>
          <w:b/>
          <w:bCs/>
          <w:color w:val="000000" w:themeColor="text1"/>
          <w:sz w:val="32"/>
          <w:szCs w:val="32"/>
        </w:rPr>
        <w:t>（</w:t>
      </w:r>
      <w:r>
        <w:rPr>
          <w:rFonts w:ascii="Times New Roman" w:eastAsia="仿宋_GB2312"/>
          <w:b/>
          <w:bCs/>
          <w:color w:val="000000" w:themeColor="text1"/>
          <w:sz w:val="32"/>
          <w:szCs w:val="32"/>
        </w:rPr>
        <w:t>2</w:t>
      </w:r>
      <w:r>
        <w:rPr>
          <w:rFonts w:ascii="Times New Roman" w:eastAsia="仿宋_GB2312" w:hint="eastAsia"/>
          <w:b/>
          <w:bCs/>
          <w:color w:val="000000" w:themeColor="text1"/>
          <w:sz w:val="32"/>
          <w:szCs w:val="32"/>
        </w:rPr>
        <w:t>）突出公共政策属性</w:t>
      </w:r>
    </w:p>
    <w:p w:rsidR="007B4818" w:rsidRDefault="00D73177">
      <w:pPr>
        <w:widowControl/>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0"/>
        </w:rPr>
        <w:t>坚持体现</w:t>
      </w:r>
      <w:r>
        <w:rPr>
          <w:rFonts w:ascii="Times New Roman" w:eastAsia="仿宋_GB2312" w:hint="eastAsia"/>
          <w:color w:val="000000" w:themeColor="text1"/>
          <w:sz w:val="32"/>
          <w:szCs w:val="32"/>
        </w:rPr>
        <w:t>市级</w:t>
      </w:r>
      <w:r>
        <w:rPr>
          <w:rFonts w:ascii="Times New Roman" w:eastAsia="仿宋_GB2312"/>
          <w:color w:val="000000" w:themeColor="text1"/>
          <w:sz w:val="32"/>
          <w:szCs w:val="32"/>
        </w:rPr>
        <w:t>总规的</w:t>
      </w:r>
      <w:r>
        <w:rPr>
          <w:rFonts w:ascii="Times New Roman" w:eastAsia="仿宋_GB2312" w:hint="eastAsia"/>
          <w:color w:val="000000" w:themeColor="text1"/>
          <w:sz w:val="32"/>
          <w:szCs w:val="32"/>
        </w:rPr>
        <w:t>公共</w:t>
      </w:r>
      <w:r>
        <w:rPr>
          <w:rFonts w:ascii="Times New Roman" w:eastAsia="仿宋_GB2312"/>
          <w:color w:val="000000" w:themeColor="text1"/>
          <w:sz w:val="32"/>
          <w:szCs w:val="32"/>
        </w:rPr>
        <w:t>政策</w:t>
      </w:r>
      <w:r>
        <w:rPr>
          <w:rFonts w:ascii="Times New Roman" w:eastAsia="仿宋_GB2312" w:hint="eastAsia"/>
          <w:color w:val="000000" w:themeColor="text1"/>
          <w:sz w:val="32"/>
          <w:szCs w:val="32"/>
        </w:rPr>
        <w:t>属性</w:t>
      </w:r>
      <w:r>
        <w:rPr>
          <w:rFonts w:ascii="Times New Roman" w:eastAsia="仿宋_GB2312"/>
          <w:color w:val="000000" w:themeColor="text1"/>
          <w:sz w:val="32"/>
          <w:szCs w:val="32"/>
        </w:rPr>
        <w:t>，</w:t>
      </w:r>
      <w:r>
        <w:rPr>
          <w:rFonts w:ascii="Times New Roman" w:eastAsia="仿宋_GB2312" w:hint="eastAsia"/>
          <w:color w:val="000000" w:themeColor="text1"/>
          <w:sz w:val="32"/>
          <w:szCs w:val="32"/>
        </w:rPr>
        <w:t>坚持问题导向、目标导向、结果导向相结合，坚持以战略为引领，按照“问题</w:t>
      </w:r>
      <w:r>
        <w:rPr>
          <w:rFonts w:ascii="Times New Roman" w:eastAsia="仿宋_GB2312"/>
          <w:color w:val="000000" w:themeColor="text1"/>
          <w:sz w:val="32"/>
          <w:szCs w:val="32"/>
        </w:rPr>
        <w:t>-</w:t>
      </w:r>
      <w:r>
        <w:rPr>
          <w:rFonts w:ascii="Times New Roman" w:eastAsia="仿宋_GB2312" w:hint="eastAsia"/>
          <w:color w:val="000000" w:themeColor="text1"/>
          <w:sz w:val="32"/>
          <w:szCs w:val="32"/>
        </w:rPr>
        <w:t>目标</w:t>
      </w:r>
      <w:r>
        <w:rPr>
          <w:rFonts w:ascii="Times New Roman" w:eastAsia="仿宋_GB2312" w:hint="eastAsia"/>
          <w:color w:val="000000" w:themeColor="text1"/>
          <w:sz w:val="32"/>
          <w:szCs w:val="32"/>
        </w:rPr>
        <w:t>-</w:t>
      </w:r>
      <w:r>
        <w:rPr>
          <w:rFonts w:ascii="Times New Roman" w:eastAsia="仿宋_GB2312" w:hint="eastAsia"/>
          <w:color w:val="000000" w:themeColor="text1"/>
          <w:sz w:val="32"/>
          <w:szCs w:val="32"/>
        </w:rPr>
        <w:t>战略</w:t>
      </w:r>
      <w:r>
        <w:rPr>
          <w:rFonts w:ascii="Times New Roman" w:eastAsia="仿宋_GB2312"/>
          <w:color w:val="000000" w:themeColor="text1"/>
          <w:sz w:val="32"/>
          <w:szCs w:val="32"/>
        </w:rPr>
        <w:t>-</w:t>
      </w:r>
      <w:r>
        <w:rPr>
          <w:rFonts w:ascii="Times New Roman" w:eastAsia="仿宋_GB2312" w:hint="eastAsia"/>
          <w:color w:val="000000" w:themeColor="text1"/>
          <w:sz w:val="32"/>
          <w:szCs w:val="32"/>
        </w:rPr>
        <w:t>布局</w:t>
      </w:r>
      <w:r>
        <w:rPr>
          <w:rFonts w:ascii="Times New Roman" w:eastAsia="仿宋_GB2312"/>
          <w:color w:val="000000" w:themeColor="text1"/>
          <w:sz w:val="32"/>
          <w:szCs w:val="32"/>
        </w:rPr>
        <w:t>-</w:t>
      </w:r>
      <w:r>
        <w:rPr>
          <w:rFonts w:ascii="Times New Roman" w:eastAsia="仿宋_GB2312" w:hint="eastAsia"/>
          <w:color w:val="000000" w:themeColor="text1"/>
          <w:sz w:val="32"/>
          <w:szCs w:val="32"/>
        </w:rPr>
        <w:t>机制”的逻辑，针对性地制定规划方案和实施政策措施，确保规划能用、管用、好用，更好发挥规划在空间治理能力现代化中的作用。</w:t>
      </w:r>
    </w:p>
    <w:p w:rsidR="007B4818" w:rsidRDefault="00D73177">
      <w:pPr>
        <w:widowControl/>
        <w:ind w:firstLine="480"/>
        <w:rPr>
          <w:rFonts w:ascii="Times New Roman" w:eastAsia="仿宋_GB2312"/>
          <w:b/>
          <w:bCs/>
          <w:color w:val="000000" w:themeColor="text1"/>
          <w:sz w:val="32"/>
          <w:szCs w:val="32"/>
        </w:rPr>
      </w:pPr>
      <w:r>
        <w:rPr>
          <w:rFonts w:ascii="Times New Roman" w:eastAsia="仿宋_GB2312" w:hint="eastAsia"/>
          <w:b/>
          <w:bCs/>
          <w:color w:val="000000" w:themeColor="text1"/>
          <w:sz w:val="32"/>
          <w:szCs w:val="32"/>
        </w:rPr>
        <w:t>（</w:t>
      </w:r>
      <w:r>
        <w:rPr>
          <w:rFonts w:ascii="Times New Roman" w:eastAsia="仿宋_GB2312"/>
          <w:b/>
          <w:bCs/>
          <w:color w:val="000000" w:themeColor="text1"/>
          <w:sz w:val="32"/>
          <w:szCs w:val="32"/>
        </w:rPr>
        <w:t>3</w:t>
      </w:r>
      <w:r>
        <w:rPr>
          <w:rFonts w:ascii="Times New Roman" w:eastAsia="仿宋_GB2312" w:hint="eastAsia"/>
          <w:b/>
          <w:bCs/>
          <w:color w:val="000000" w:themeColor="text1"/>
          <w:sz w:val="32"/>
          <w:szCs w:val="32"/>
        </w:rPr>
        <w:t>）创新规划工作方法</w:t>
      </w:r>
    </w:p>
    <w:p w:rsidR="007B4818" w:rsidRDefault="00D73177">
      <w:pPr>
        <w:pStyle w:val="af2"/>
        <w:ind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坚持</w:t>
      </w:r>
      <w:r>
        <w:rPr>
          <w:rFonts w:ascii="Times New Roman" w:eastAsia="仿宋_GB2312"/>
          <w:color w:val="000000" w:themeColor="text1"/>
          <w:sz w:val="32"/>
          <w:szCs w:val="32"/>
        </w:rPr>
        <w:t>开门</w:t>
      </w:r>
      <w:r>
        <w:rPr>
          <w:rFonts w:ascii="Times New Roman" w:eastAsia="仿宋_GB2312" w:hint="eastAsia"/>
          <w:color w:val="000000" w:themeColor="text1"/>
          <w:sz w:val="32"/>
          <w:szCs w:val="32"/>
        </w:rPr>
        <w:t>编</w:t>
      </w:r>
      <w:r>
        <w:rPr>
          <w:rFonts w:ascii="Times New Roman" w:eastAsia="仿宋_GB2312"/>
          <w:color w:val="000000" w:themeColor="text1"/>
          <w:sz w:val="32"/>
          <w:szCs w:val="32"/>
        </w:rPr>
        <w:t>规划，践行群众路线，将共谋、共建、共享、共治贯穿规划工作全过程，广泛凝聚社会智慧；</w:t>
      </w:r>
      <w:r>
        <w:rPr>
          <w:rFonts w:ascii="Times New Roman" w:eastAsia="仿宋_GB2312" w:hint="eastAsia"/>
          <w:color w:val="000000" w:themeColor="text1"/>
          <w:sz w:val="32"/>
          <w:szCs w:val="32"/>
        </w:rPr>
        <w:t>强化城市设计、大数据、人工智能等技术手段对规划方案的辅助支撑作用，提升规划编制和管理水平。</w:t>
      </w:r>
    </w:p>
    <w:p w:rsidR="007B4818" w:rsidRDefault="00D73177">
      <w:pPr>
        <w:pStyle w:val="2"/>
        <w:ind w:leftChars="-1" w:left="-2" w:firstLine="0"/>
        <w:jc w:val="both"/>
        <w:rPr>
          <w:b/>
          <w:bCs w:val="0"/>
          <w:color w:val="000000" w:themeColor="text1"/>
          <w:szCs w:val="32"/>
        </w:rPr>
      </w:pPr>
      <w:bookmarkStart w:id="56" w:name="_Toc7963"/>
      <w:bookmarkStart w:id="57" w:name="_Toc33207276"/>
      <w:bookmarkStart w:id="58" w:name="_Toc38876598"/>
      <w:bookmarkStart w:id="59" w:name="_Toc29438"/>
      <w:bookmarkStart w:id="60" w:name="_Toc44611567"/>
      <w:bookmarkStart w:id="61" w:name="_Toc44441617"/>
      <w:bookmarkStart w:id="62" w:name="_Toc3260"/>
      <w:bookmarkStart w:id="63" w:name="_Toc26549"/>
      <w:bookmarkStart w:id="64" w:name="_Toc29773"/>
      <w:bookmarkStart w:id="65" w:name="_Toc38982744"/>
      <w:r>
        <w:rPr>
          <w:rFonts w:hint="eastAsia"/>
          <w:b/>
          <w:bCs w:val="0"/>
          <w:color w:val="000000" w:themeColor="text1"/>
          <w:szCs w:val="32"/>
        </w:rPr>
        <w:t>规划范围、期限和层次</w:t>
      </w:r>
      <w:bookmarkEnd w:id="56"/>
      <w:bookmarkEnd w:id="57"/>
      <w:bookmarkEnd w:id="58"/>
      <w:bookmarkEnd w:id="59"/>
      <w:bookmarkEnd w:id="60"/>
      <w:bookmarkEnd w:id="61"/>
      <w:bookmarkEnd w:id="62"/>
      <w:bookmarkEnd w:id="63"/>
      <w:bookmarkEnd w:id="64"/>
    </w:p>
    <w:bookmarkEnd w:id="65"/>
    <w:p w:rsidR="007B4818" w:rsidRDefault="00D73177">
      <w:pPr>
        <w:pStyle w:val="af2"/>
        <w:ind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规划范围包括市级行政辖区内全部陆域和管辖海域国土空间；本轮规划目标年为</w:t>
      </w:r>
      <w:r>
        <w:rPr>
          <w:rFonts w:ascii="Times New Roman" w:eastAsia="仿宋_GB2312"/>
          <w:color w:val="000000" w:themeColor="text1"/>
          <w:sz w:val="32"/>
          <w:szCs w:val="32"/>
        </w:rPr>
        <w:t>2035</w:t>
      </w:r>
      <w:r>
        <w:rPr>
          <w:rFonts w:ascii="Times New Roman" w:eastAsia="仿宋_GB2312" w:hint="eastAsia"/>
          <w:color w:val="000000" w:themeColor="text1"/>
          <w:sz w:val="32"/>
          <w:szCs w:val="32"/>
        </w:rPr>
        <w:t>年，近期至</w:t>
      </w:r>
      <w:r>
        <w:rPr>
          <w:rFonts w:ascii="Times New Roman" w:eastAsia="仿宋_GB2312"/>
          <w:color w:val="000000" w:themeColor="text1"/>
          <w:sz w:val="32"/>
          <w:szCs w:val="32"/>
        </w:rPr>
        <w:t>2025</w:t>
      </w:r>
      <w:r>
        <w:rPr>
          <w:rFonts w:ascii="Times New Roman" w:eastAsia="仿宋_GB2312" w:hint="eastAsia"/>
          <w:color w:val="000000" w:themeColor="text1"/>
          <w:sz w:val="32"/>
          <w:szCs w:val="32"/>
        </w:rPr>
        <w:t>年，远景展望至</w:t>
      </w:r>
      <w:r>
        <w:rPr>
          <w:rFonts w:ascii="Times New Roman" w:eastAsia="仿宋_GB2312"/>
          <w:color w:val="000000" w:themeColor="text1"/>
          <w:sz w:val="32"/>
          <w:szCs w:val="32"/>
        </w:rPr>
        <w:t>2050</w:t>
      </w:r>
      <w:r>
        <w:rPr>
          <w:rFonts w:ascii="Times New Roman" w:eastAsia="仿宋_GB2312" w:hint="eastAsia"/>
          <w:color w:val="000000" w:themeColor="text1"/>
          <w:sz w:val="32"/>
          <w:szCs w:val="32"/>
        </w:rPr>
        <w:t>年。</w:t>
      </w:r>
    </w:p>
    <w:p w:rsidR="007B4818" w:rsidRDefault="00D73177">
      <w:pPr>
        <w:pStyle w:val="af2"/>
        <w:ind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市级总规一般包括市域和中心城区两个层次。市域要统筹全域全要素规划管理，侧重国土空间开发保护的</w:t>
      </w:r>
      <w:r>
        <w:rPr>
          <w:rFonts w:ascii="Times New Roman" w:eastAsia="仿宋_GB2312"/>
          <w:color w:val="000000" w:themeColor="text1"/>
          <w:sz w:val="32"/>
          <w:szCs w:val="32"/>
        </w:rPr>
        <w:t>战略部署和</w:t>
      </w:r>
      <w:r>
        <w:rPr>
          <w:rFonts w:ascii="Times New Roman" w:eastAsia="仿宋_GB2312" w:hint="eastAsia"/>
          <w:color w:val="000000" w:themeColor="text1"/>
          <w:sz w:val="32"/>
          <w:szCs w:val="32"/>
        </w:rPr>
        <w:t>总体格局；中心城区要细化土地使用和空间布局，侧重功能完善</w:t>
      </w:r>
      <w:r>
        <w:rPr>
          <w:rFonts w:ascii="Times New Roman" w:eastAsia="仿宋_GB2312"/>
          <w:color w:val="000000" w:themeColor="text1"/>
          <w:sz w:val="32"/>
          <w:szCs w:val="32"/>
        </w:rPr>
        <w:t>和</w:t>
      </w:r>
      <w:r>
        <w:rPr>
          <w:rFonts w:ascii="Times New Roman" w:eastAsia="仿宋_GB2312" w:hint="eastAsia"/>
          <w:color w:val="000000" w:themeColor="text1"/>
          <w:sz w:val="32"/>
          <w:szCs w:val="32"/>
        </w:rPr>
        <w:t>结构优化；市域与中心城区要落实重要管控要素的系统传导和衔接。</w:t>
      </w:r>
    </w:p>
    <w:p w:rsidR="007B4818" w:rsidRDefault="00D73177">
      <w:pPr>
        <w:pStyle w:val="2"/>
        <w:ind w:leftChars="-1" w:left="-2" w:firstLine="0"/>
        <w:jc w:val="both"/>
        <w:rPr>
          <w:b/>
          <w:bCs w:val="0"/>
          <w:color w:val="000000" w:themeColor="text1"/>
          <w:szCs w:val="32"/>
        </w:rPr>
      </w:pPr>
      <w:bookmarkStart w:id="66" w:name="_Toc12617"/>
      <w:bookmarkStart w:id="67" w:name="_Toc26356"/>
      <w:bookmarkStart w:id="68" w:name="_Toc25134"/>
      <w:r>
        <w:rPr>
          <w:rFonts w:hint="eastAsia"/>
          <w:b/>
          <w:bCs w:val="0"/>
          <w:color w:val="000000" w:themeColor="text1"/>
          <w:szCs w:val="32"/>
        </w:rPr>
        <w:t>编制主体与程序</w:t>
      </w:r>
      <w:bookmarkEnd w:id="66"/>
      <w:bookmarkEnd w:id="67"/>
      <w:bookmarkEnd w:id="68"/>
    </w:p>
    <w:p w:rsidR="007B4818" w:rsidRDefault="00D73177">
      <w:pPr>
        <w:pStyle w:val="af2"/>
        <w:ind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规划编制应坚持党委领导、政府组织、部门协同、专家领衔、公众参与的工作方式。市级人民政府负责市级总规组织编制工作，市级自然资源主管部门会同相关部门承担具体编制工作。</w:t>
      </w:r>
    </w:p>
    <w:p w:rsidR="007B4818" w:rsidRDefault="00D73177">
      <w:pPr>
        <w:pStyle w:val="af2"/>
        <w:ind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工作程序主要包括基础工作、规划编制、规划设计方案论证、规划公示、成果报批、规划公告等。</w:t>
      </w:r>
    </w:p>
    <w:p w:rsidR="007B4818" w:rsidRDefault="00D73177">
      <w:pPr>
        <w:pStyle w:val="2"/>
        <w:ind w:leftChars="-1" w:left="-2" w:firstLine="0"/>
        <w:jc w:val="both"/>
        <w:rPr>
          <w:b/>
          <w:color w:val="000000" w:themeColor="text1"/>
          <w:szCs w:val="32"/>
        </w:rPr>
      </w:pPr>
      <w:bookmarkStart w:id="69" w:name="_Toc20879"/>
      <w:bookmarkStart w:id="70" w:name="_Toc38876600"/>
      <w:bookmarkStart w:id="71" w:name="_Toc30236"/>
      <w:bookmarkStart w:id="72" w:name="_Toc44441618"/>
      <w:bookmarkStart w:id="73" w:name="_Toc44611568"/>
      <w:bookmarkStart w:id="74" w:name="_Toc18881"/>
      <w:bookmarkStart w:id="75" w:name="_Toc33207278"/>
      <w:bookmarkStart w:id="76" w:name="_Toc7971"/>
      <w:bookmarkStart w:id="77" w:name="_Toc15654"/>
      <w:r>
        <w:rPr>
          <w:rFonts w:hint="eastAsia"/>
          <w:b/>
          <w:bCs w:val="0"/>
          <w:color w:val="000000" w:themeColor="text1"/>
          <w:szCs w:val="32"/>
        </w:rPr>
        <w:t>成果形式</w:t>
      </w:r>
      <w:bookmarkEnd w:id="69"/>
      <w:bookmarkEnd w:id="70"/>
      <w:bookmarkEnd w:id="71"/>
      <w:bookmarkEnd w:id="72"/>
      <w:bookmarkEnd w:id="73"/>
      <w:bookmarkEnd w:id="74"/>
      <w:bookmarkEnd w:id="75"/>
      <w:bookmarkEnd w:id="76"/>
      <w:bookmarkEnd w:id="77"/>
    </w:p>
    <w:p w:rsidR="007B4818" w:rsidRDefault="00D73177">
      <w:pPr>
        <w:pStyle w:val="af2"/>
        <w:ind w:firstLine="640"/>
        <w:rPr>
          <w:color w:val="000000" w:themeColor="text1"/>
        </w:rPr>
      </w:pPr>
      <w:r>
        <w:rPr>
          <w:rFonts w:ascii="Times New Roman" w:eastAsia="仿宋_GB2312" w:hint="eastAsia"/>
          <w:color w:val="000000" w:themeColor="text1"/>
          <w:sz w:val="32"/>
          <w:szCs w:val="32"/>
        </w:rPr>
        <w:t>规划成果包括规划文本、附表、图件、说明、专题研究报告、国土空间规划“一张图”相关成果等。</w:t>
      </w:r>
    </w:p>
    <w:p w:rsidR="007B4818" w:rsidRDefault="00D73177">
      <w:pPr>
        <w:pStyle w:val="1"/>
        <w:spacing w:line="240" w:lineRule="auto"/>
        <w:jc w:val="both"/>
        <w:rPr>
          <w:color w:val="000000" w:themeColor="text1"/>
          <w:szCs w:val="32"/>
        </w:rPr>
      </w:pPr>
      <w:bookmarkStart w:id="78" w:name="_Toc9401"/>
      <w:bookmarkStart w:id="79" w:name="_Toc27775"/>
      <w:bookmarkStart w:id="80" w:name="_Toc33207279"/>
      <w:bookmarkStart w:id="81" w:name="_Toc8273"/>
      <w:bookmarkStart w:id="82" w:name="_Toc32744"/>
      <w:bookmarkStart w:id="83" w:name="_Toc6758"/>
      <w:bookmarkStart w:id="84" w:name="_Toc44611569"/>
      <w:bookmarkStart w:id="85" w:name="_Toc38876601"/>
      <w:bookmarkStart w:id="86" w:name="_Toc38982747"/>
      <w:bookmarkEnd w:id="40"/>
      <w:r>
        <w:rPr>
          <w:rFonts w:hint="eastAsia"/>
          <w:color w:val="000000" w:themeColor="text1"/>
          <w:szCs w:val="32"/>
        </w:rPr>
        <w:t>基础</w:t>
      </w:r>
      <w:r>
        <w:rPr>
          <w:color w:val="000000" w:themeColor="text1"/>
          <w:szCs w:val="32"/>
        </w:rPr>
        <w:t>工作</w:t>
      </w:r>
      <w:bookmarkEnd w:id="78"/>
      <w:bookmarkEnd w:id="79"/>
      <w:bookmarkEnd w:id="80"/>
      <w:bookmarkEnd w:id="81"/>
      <w:bookmarkEnd w:id="82"/>
      <w:bookmarkEnd w:id="83"/>
      <w:bookmarkEnd w:id="84"/>
      <w:bookmarkEnd w:id="85"/>
    </w:p>
    <w:p w:rsidR="007B4818" w:rsidRDefault="00D73177">
      <w:pPr>
        <w:pStyle w:val="2"/>
        <w:ind w:leftChars="-1" w:left="-2" w:firstLine="0"/>
        <w:jc w:val="both"/>
        <w:rPr>
          <w:b/>
          <w:bCs w:val="0"/>
          <w:color w:val="000000" w:themeColor="text1"/>
          <w:szCs w:val="32"/>
        </w:rPr>
      </w:pPr>
      <w:bookmarkStart w:id="87" w:name="_Toc9726"/>
      <w:bookmarkStart w:id="88" w:name="_Toc13219"/>
      <w:bookmarkStart w:id="89" w:name="_Toc12308"/>
      <w:bookmarkStart w:id="90" w:name="_Toc28248"/>
      <w:bookmarkStart w:id="91" w:name="_Toc22921"/>
      <w:bookmarkStart w:id="92" w:name="_Toc44611570"/>
      <w:bookmarkStart w:id="93" w:name="_Toc44441620"/>
      <w:bookmarkStart w:id="94" w:name="_Toc33207280"/>
      <w:bookmarkStart w:id="95" w:name="_Toc38876602"/>
      <w:bookmarkEnd w:id="86"/>
      <w:r>
        <w:rPr>
          <w:rFonts w:hint="eastAsia"/>
          <w:b/>
          <w:bCs w:val="0"/>
          <w:color w:val="000000" w:themeColor="text1"/>
          <w:szCs w:val="32"/>
        </w:rPr>
        <w:t>统一底图底数</w:t>
      </w:r>
      <w:bookmarkEnd w:id="87"/>
      <w:bookmarkEnd w:id="88"/>
      <w:bookmarkEnd w:id="89"/>
    </w:p>
    <w:p w:rsidR="007B4818" w:rsidRDefault="00D73177">
      <w:pPr>
        <w:pStyle w:val="af2"/>
        <w:ind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各地应在第三次国土调查（以下简称“三</w:t>
      </w:r>
      <w:r>
        <w:rPr>
          <w:rFonts w:ascii="Times New Roman" w:eastAsia="仿宋_GB2312"/>
          <w:color w:val="000000" w:themeColor="text1"/>
          <w:sz w:val="32"/>
          <w:szCs w:val="32"/>
        </w:rPr>
        <w:t>调</w:t>
      </w:r>
      <w:r>
        <w:rPr>
          <w:rFonts w:ascii="Times New Roman" w:eastAsia="仿宋_GB2312" w:hint="eastAsia"/>
          <w:color w:val="000000" w:themeColor="text1"/>
          <w:sz w:val="32"/>
          <w:szCs w:val="32"/>
        </w:rPr>
        <w:t>”）的基础上，按照国土空间用地用海分类、城区范围确定等部有关标准规范，形成符合规定的国土空间利用现状和工作底数。统一采用</w:t>
      </w:r>
      <w:r>
        <w:rPr>
          <w:rFonts w:ascii="Times New Roman" w:eastAsia="仿宋_GB2312"/>
          <w:color w:val="000000" w:themeColor="text1"/>
          <w:sz w:val="32"/>
          <w:szCs w:val="32"/>
        </w:rPr>
        <w:t>2000</w:t>
      </w:r>
      <w:r>
        <w:rPr>
          <w:rFonts w:ascii="Times New Roman" w:eastAsia="仿宋_GB2312" w:hint="eastAsia"/>
          <w:color w:val="000000" w:themeColor="text1"/>
          <w:sz w:val="32"/>
          <w:szCs w:val="32"/>
        </w:rPr>
        <w:t>国家大地坐标系和</w:t>
      </w:r>
      <w:r>
        <w:rPr>
          <w:rFonts w:ascii="Times New Roman" w:eastAsia="仿宋_GB2312"/>
          <w:color w:val="000000" w:themeColor="text1"/>
          <w:sz w:val="32"/>
          <w:szCs w:val="32"/>
        </w:rPr>
        <w:t>1985</w:t>
      </w:r>
      <w:r>
        <w:rPr>
          <w:rFonts w:ascii="Times New Roman" w:eastAsia="仿宋_GB2312" w:hint="eastAsia"/>
          <w:color w:val="000000" w:themeColor="text1"/>
          <w:sz w:val="32"/>
          <w:szCs w:val="32"/>
        </w:rPr>
        <w:t>国家高程基准作为空间定位基础，形成坐标一致、边界吻合、上下贯通的工作底图。沿海地区要增加所辖海域海岛底图底数。</w:t>
      </w:r>
    </w:p>
    <w:p w:rsidR="007B4818" w:rsidRDefault="00D73177">
      <w:pPr>
        <w:ind w:firstLineChars="200" w:firstLine="640"/>
        <w:rPr>
          <w:color w:val="000000" w:themeColor="text1"/>
        </w:rPr>
      </w:pPr>
      <w:r>
        <w:rPr>
          <w:rFonts w:ascii="Times New Roman" w:eastAsia="仿宋_GB2312" w:hint="eastAsia"/>
          <w:color w:val="000000" w:themeColor="text1"/>
          <w:sz w:val="32"/>
          <w:szCs w:val="32"/>
        </w:rPr>
        <w:t>各地应根据需要开展补充调查，并充分应用基础测绘和地理国情监测成果，收集自然资源、生态环境、经济产业、人口社会、历史文化、基础设施、城乡发展、区域协调、灾害风险、水土污染、海洋空间保护和利用等相关资料，以及相关规划成果、土地</w:t>
      </w:r>
      <w:r>
        <w:rPr>
          <w:rFonts w:ascii="Times New Roman" w:eastAsia="仿宋_GB2312"/>
          <w:color w:val="000000" w:themeColor="text1"/>
          <w:sz w:val="32"/>
          <w:szCs w:val="32"/>
        </w:rPr>
        <w:t>利用</w:t>
      </w:r>
      <w:r>
        <w:rPr>
          <w:rFonts w:ascii="Times New Roman" w:eastAsia="仿宋_GB2312" w:hint="eastAsia"/>
          <w:color w:val="000000" w:themeColor="text1"/>
          <w:sz w:val="32"/>
          <w:szCs w:val="32"/>
        </w:rPr>
        <w:t>审批、永久基本农田等数据，加强基础数据分析。</w:t>
      </w:r>
    </w:p>
    <w:p w:rsidR="007B4818" w:rsidRDefault="00D73177">
      <w:pPr>
        <w:pStyle w:val="2"/>
        <w:ind w:leftChars="-1" w:left="-2" w:firstLine="0"/>
        <w:jc w:val="both"/>
        <w:rPr>
          <w:b/>
          <w:bCs w:val="0"/>
          <w:color w:val="000000" w:themeColor="text1"/>
          <w:szCs w:val="32"/>
        </w:rPr>
      </w:pPr>
      <w:bookmarkStart w:id="96" w:name="_Toc22226"/>
      <w:bookmarkStart w:id="97" w:name="_Toc20772"/>
      <w:bookmarkStart w:id="98" w:name="_Toc14350"/>
      <w:r>
        <w:rPr>
          <w:rFonts w:hint="eastAsia"/>
          <w:b/>
          <w:bCs w:val="0"/>
          <w:color w:val="000000" w:themeColor="text1"/>
          <w:szCs w:val="32"/>
        </w:rPr>
        <w:t>分析自然地理</w:t>
      </w:r>
      <w:r>
        <w:rPr>
          <w:b/>
          <w:bCs w:val="0"/>
          <w:color w:val="000000" w:themeColor="text1"/>
          <w:szCs w:val="32"/>
        </w:rPr>
        <w:t>格局</w:t>
      </w:r>
      <w:bookmarkEnd w:id="90"/>
      <w:bookmarkEnd w:id="91"/>
      <w:bookmarkEnd w:id="92"/>
      <w:bookmarkEnd w:id="93"/>
      <w:bookmarkEnd w:id="96"/>
      <w:bookmarkEnd w:id="97"/>
      <w:bookmarkEnd w:id="98"/>
    </w:p>
    <w:p w:rsidR="007B4818" w:rsidRDefault="00D73177">
      <w:pPr>
        <w:pStyle w:val="af2"/>
        <w:ind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研究当地气候和地形地貌条件、水土等自然资源禀赋、生态环境容量等空间本底特征，分析自然地理格局、人口分布与区域经济布局的空间匹配关系，开展资源环境承载能力和国土空间开发适宜性评价（以下简称“双评价”），明确农业生产、城镇建设的</w:t>
      </w:r>
      <w:r>
        <w:rPr>
          <w:rFonts w:ascii="Times New Roman" w:eastAsia="仿宋_GB2312"/>
          <w:color w:val="000000" w:themeColor="text1"/>
          <w:sz w:val="32"/>
          <w:szCs w:val="32"/>
        </w:rPr>
        <w:t>最大</w:t>
      </w:r>
      <w:r>
        <w:rPr>
          <w:rFonts w:ascii="Times New Roman" w:eastAsia="仿宋_GB2312" w:hint="eastAsia"/>
          <w:color w:val="000000" w:themeColor="text1"/>
          <w:sz w:val="32"/>
          <w:szCs w:val="32"/>
        </w:rPr>
        <w:t>合理</w:t>
      </w:r>
      <w:r>
        <w:rPr>
          <w:rFonts w:ascii="Times New Roman" w:eastAsia="仿宋_GB2312"/>
          <w:color w:val="000000" w:themeColor="text1"/>
          <w:sz w:val="32"/>
          <w:szCs w:val="32"/>
        </w:rPr>
        <w:t>规模和适宜空间</w:t>
      </w:r>
      <w:r>
        <w:rPr>
          <w:rFonts w:ascii="Times New Roman" w:eastAsia="仿宋_GB2312" w:hint="eastAsia"/>
          <w:color w:val="000000" w:themeColor="text1"/>
          <w:sz w:val="32"/>
          <w:szCs w:val="32"/>
        </w:rPr>
        <w:t>，提出国土空间优化导向。</w:t>
      </w:r>
    </w:p>
    <w:p w:rsidR="007B4818" w:rsidRDefault="00D73177">
      <w:pPr>
        <w:pStyle w:val="2"/>
        <w:ind w:leftChars="-1" w:left="-2" w:firstLine="0"/>
        <w:jc w:val="both"/>
        <w:rPr>
          <w:b/>
          <w:bCs w:val="0"/>
          <w:color w:val="000000" w:themeColor="text1"/>
          <w:szCs w:val="32"/>
        </w:rPr>
      </w:pPr>
      <w:bookmarkStart w:id="99" w:name="_Toc44441621"/>
      <w:bookmarkStart w:id="100" w:name="_Toc18551"/>
      <w:bookmarkStart w:id="101" w:name="_Toc16127"/>
      <w:bookmarkStart w:id="102" w:name="_Toc38876603"/>
      <w:bookmarkStart w:id="103" w:name="_Toc44611571"/>
      <w:bookmarkStart w:id="104" w:name="_Toc28760"/>
      <w:bookmarkStart w:id="105" w:name="_Toc30622"/>
      <w:bookmarkStart w:id="106" w:name="_Toc21272"/>
      <w:r>
        <w:rPr>
          <w:rFonts w:hint="eastAsia"/>
          <w:b/>
          <w:bCs w:val="0"/>
          <w:color w:val="000000" w:themeColor="text1"/>
          <w:szCs w:val="32"/>
        </w:rPr>
        <w:t>重视规划实施和灾害风险</w:t>
      </w:r>
      <w:bookmarkEnd w:id="99"/>
      <w:bookmarkEnd w:id="100"/>
      <w:bookmarkEnd w:id="101"/>
      <w:bookmarkEnd w:id="102"/>
      <w:bookmarkEnd w:id="103"/>
      <w:bookmarkEnd w:id="104"/>
      <w:r>
        <w:rPr>
          <w:rFonts w:hint="eastAsia"/>
          <w:b/>
          <w:bCs w:val="0"/>
          <w:color w:val="000000" w:themeColor="text1"/>
          <w:szCs w:val="32"/>
        </w:rPr>
        <w:t>评估</w:t>
      </w:r>
      <w:bookmarkEnd w:id="105"/>
      <w:bookmarkEnd w:id="106"/>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开展现行城市总体规划、土地利用总体规划、市级海洋功能区划等空间类规划及相关政策实施的评估，评估自然生态和历史文化保护、基础设施和公共服务设施、节约集约用地等规划实施情况；结合自然地理本底特征和“双评价”结果，针对不确定性和不稳定性，分析区域发展和城镇化趋势、人口与社会需求变化、科技进步和产业发展、气候变化等因素，系统梳理国土空间开发保护中存在的问题，开展灾害和风险评估。</w:t>
      </w:r>
    </w:p>
    <w:p w:rsidR="007B4818" w:rsidRDefault="00D73177">
      <w:pPr>
        <w:pStyle w:val="2"/>
        <w:ind w:leftChars="-1" w:left="-2" w:firstLine="0"/>
        <w:jc w:val="both"/>
        <w:rPr>
          <w:b/>
          <w:bCs w:val="0"/>
          <w:color w:val="000000" w:themeColor="text1"/>
          <w:szCs w:val="32"/>
        </w:rPr>
      </w:pPr>
      <w:bookmarkStart w:id="107" w:name="_Toc18385"/>
      <w:bookmarkStart w:id="108" w:name="_Toc7883"/>
      <w:bookmarkStart w:id="109" w:name="_Toc44441622"/>
      <w:bookmarkStart w:id="110" w:name="_Toc38876604"/>
      <w:bookmarkStart w:id="111" w:name="_Toc14628"/>
      <w:bookmarkStart w:id="112" w:name="_Toc20119"/>
      <w:bookmarkStart w:id="113" w:name="_Toc44611572"/>
      <w:bookmarkStart w:id="114" w:name="_Toc14582"/>
      <w:r>
        <w:rPr>
          <w:rFonts w:hint="eastAsia"/>
          <w:b/>
          <w:bCs w:val="0"/>
          <w:color w:val="000000" w:themeColor="text1"/>
          <w:szCs w:val="32"/>
        </w:rPr>
        <w:t>加强重大专题研究</w:t>
      </w:r>
      <w:bookmarkEnd w:id="107"/>
      <w:bookmarkEnd w:id="108"/>
      <w:bookmarkEnd w:id="109"/>
      <w:bookmarkEnd w:id="110"/>
      <w:bookmarkEnd w:id="111"/>
      <w:bookmarkEnd w:id="112"/>
      <w:bookmarkEnd w:id="113"/>
      <w:bookmarkEnd w:id="114"/>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可包括但不限于：（</w:t>
      </w:r>
      <w:r>
        <w:rPr>
          <w:rFonts w:ascii="Times New Roman" w:eastAsia="仿宋_GB2312" w:hint="eastAsia"/>
          <w:color w:val="000000" w:themeColor="text1"/>
          <w:sz w:val="32"/>
          <w:szCs w:val="32"/>
        </w:rPr>
        <w:t>1</w:t>
      </w:r>
      <w:r>
        <w:rPr>
          <w:rFonts w:ascii="Times New Roman" w:eastAsia="仿宋_GB2312" w:hint="eastAsia"/>
          <w:color w:val="000000" w:themeColor="text1"/>
          <w:sz w:val="32"/>
          <w:szCs w:val="32"/>
        </w:rPr>
        <w:t>）研究人口规模、结构、分布以及人口流动等对空间供需的影响和对策；（</w:t>
      </w:r>
      <w:r>
        <w:rPr>
          <w:rFonts w:ascii="Times New Roman" w:eastAsia="仿宋_GB2312" w:hint="eastAsia"/>
          <w:color w:val="000000" w:themeColor="text1"/>
          <w:sz w:val="32"/>
          <w:szCs w:val="32"/>
        </w:rPr>
        <w:t>2</w:t>
      </w:r>
      <w:r>
        <w:rPr>
          <w:rFonts w:ascii="Times New Roman" w:eastAsia="仿宋_GB2312" w:hint="eastAsia"/>
          <w:color w:val="000000" w:themeColor="text1"/>
          <w:sz w:val="32"/>
          <w:szCs w:val="32"/>
        </w:rPr>
        <w:t>）研究气候变化及水土资源、洪涝等自然灾害等因素对空间开发保护的影响和对策；（</w:t>
      </w:r>
      <w:r>
        <w:rPr>
          <w:rFonts w:ascii="Times New Roman" w:eastAsia="仿宋_GB2312" w:hint="eastAsia"/>
          <w:color w:val="000000" w:themeColor="text1"/>
          <w:sz w:val="32"/>
          <w:szCs w:val="32"/>
        </w:rPr>
        <w:t>3</w:t>
      </w:r>
      <w:r>
        <w:rPr>
          <w:rFonts w:ascii="Times New Roman" w:eastAsia="仿宋_GB2312" w:hint="eastAsia"/>
          <w:color w:val="000000" w:themeColor="text1"/>
          <w:sz w:val="32"/>
          <w:szCs w:val="32"/>
        </w:rPr>
        <w:t>）研究重大区域战略、新型城镇化、乡村振兴、科技进步、产业发展等对区域空间发展的影响和对策；（</w:t>
      </w:r>
      <w:r>
        <w:rPr>
          <w:rFonts w:ascii="Times New Roman" w:eastAsia="仿宋_GB2312" w:hint="eastAsia"/>
          <w:color w:val="000000" w:themeColor="text1"/>
          <w:sz w:val="32"/>
          <w:szCs w:val="32"/>
        </w:rPr>
        <w:t>4</w:t>
      </w:r>
      <w:r>
        <w:rPr>
          <w:rFonts w:ascii="Times New Roman" w:eastAsia="仿宋_GB2312" w:hint="eastAsia"/>
          <w:color w:val="000000" w:themeColor="text1"/>
          <w:sz w:val="32"/>
          <w:szCs w:val="32"/>
        </w:rPr>
        <w:t>）研究交通运输体系和信息技术对区域空间发展的影响和对策；（</w:t>
      </w:r>
      <w:r>
        <w:rPr>
          <w:rFonts w:ascii="Times New Roman" w:eastAsia="仿宋_GB2312"/>
          <w:color w:val="000000" w:themeColor="text1"/>
          <w:sz w:val="32"/>
          <w:szCs w:val="32"/>
        </w:rPr>
        <w:t>5</w:t>
      </w:r>
      <w:r>
        <w:rPr>
          <w:rFonts w:ascii="Times New Roman" w:eastAsia="仿宋_GB2312" w:hint="eastAsia"/>
          <w:color w:val="000000" w:themeColor="text1"/>
          <w:sz w:val="32"/>
          <w:szCs w:val="32"/>
        </w:rPr>
        <w:t>）研究公共服务、基础设施、公共安全、风险防控等支撑保障系统的问题和对策；（</w:t>
      </w:r>
      <w:r>
        <w:rPr>
          <w:rFonts w:ascii="Times New Roman" w:eastAsia="仿宋_GB2312"/>
          <w:color w:val="000000" w:themeColor="text1"/>
          <w:sz w:val="32"/>
          <w:szCs w:val="32"/>
        </w:rPr>
        <w:t>6</w:t>
      </w:r>
      <w:r>
        <w:rPr>
          <w:rFonts w:ascii="Times New Roman" w:eastAsia="仿宋_GB2312" w:hint="eastAsia"/>
          <w:color w:val="000000" w:themeColor="text1"/>
          <w:sz w:val="32"/>
          <w:szCs w:val="32"/>
        </w:rPr>
        <w:t>）研究建设用地节约集约利用和</w:t>
      </w:r>
      <w:r>
        <w:rPr>
          <w:rFonts w:ascii="Times New Roman" w:eastAsia="仿宋_GB2312"/>
          <w:color w:val="000000" w:themeColor="text1"/>
          <w:sz w:val="32"/>
          <w:szCs w:val="32"/>
        </w:rPr>
        <w:t>城市</w:t>
      </w:r>
      <w:r>
        <w:rPr>
          <w:rFonts w:ascii="Times New Roman" w:eastAsia="仿宋_GB2312" w:hint="eastAsia"/>
          <w:color w:val="000000" w:themeColor="text1"/>
          <w:sz w:val="32"/>
          <w:szCs w:val="32"/>
        </w:rPr>
        <w:t>更新、土地整治、生态修复的空间策略；</w:t>
      </w:r>
      <w:r>
        <w:rPr>
          <w:rFonts w:ascii="Times New Roman" w:eastAsia="仿宋_GB2312"/>
          <w:color w:val="000000" w:themeColor="text1"/>
          <w:sz w:val="32"/>
          <w:szCs w:val="32"/>
        </w:rPr>
        <w:t>（</w:t>
      </w:r>
      <w:r>
        <w:rPr>
          <w:rFonts w:ascii="Times New Roman" w:eastAsia="仿宋_GB2312"/>
          <w:color w:val="000000" w:themeColor="text1"/>
          <w:sz w:val="32"/>
          <w:szCs w:val="32"/>
        </w:rPr>
        <w:t>7</w:t>
      </w:r>
      <w:r>
        <w:rPr>
          <w:rFonts w:ascii="Times New Roman" w:eastAsia="仿宋_GB2312"/>
          <w:color w:val="000000" w:themeColor="text1"/>
          <w:sz w:val="32"/>
          <w:szCs w:val="32"/>
        </w:rPr>
        <w:t>）</w:t>
      </w:r>
      <w:r>
        <w:rPr>
          <w:rFonts w:ascii="Times New Roman" w:eastAsia="仿宋_GB2312" w:hint="eastAsia"/>
          <w:color w:val="000000" w:themeColor="text1"/>
          <w:sz w:val="32"/>
          <w:szCs w:val="32"/>
        </w:rPr>
        <w:t>研究自然山水和人工环境的空间特色、历史文化保护传承等空间形态和品质改善的空间对策；（</w:t>
      </w:r>
      <w:r>
        <w:rPr>
          <w:rFonts w:ascii="Times New Roman" w:eastAsia="仿宋_GB2312"/>
          <w:color w:val="000000" w:themeColor="text1"/>
          <w:sz w:val="32"/>
          <w:szCs w:val="32"/>
        </w:rPr>
        <w:t>8</w:t>
      </w:r>
      <w:r>
        <w:rPr>
          <w:rFonts w:ascii="Times New Roman" w:eastAsia="仿宋_GB2312" w:hint="eastAsia"/>
          <w:color w:val="000000" w:themeColor="text1"/>
          <w:sz w:val="32"/>
          <w:szCs w:val="32"/>
        </w:rPr>
        <w:t>）研究资源枯竭、人口收缩城市振兴发展的空间策略；（</w:t>
      </w:r>
      <w:r>
        <w:rPr>
          <w:rFonts w:ascii="Times New Roman" w:eastAsia="仿宋_GB2312"/>
          <w:color w:val="000000" w:themeColor="text1"/>
          <w:sz w:val="32"/>
          <w:szCs w:val="32"/>
        </w:rPr>
        <w:t>9</w:t>
      </w:r>
      <w:r>
        <w:rPr>
          <w:rFonts w:ascii="Times New Roman" w:eastAsia="仿宋_GB2312" w:hint="eastAsia"/>
          <w:color w:val="000000" w:themeColor="text1"/>
          <w:sz w:val="32"/>
          <w:szCs w:val="32"/>
        </w:rPr>
        <w:t>）综合研究规划实施保障机制和相关政策措施。</w:t>
      </w:r>
    </w:p>
    <w:p w:rsidR="007B4818" w:rsidRDefault="00D73177">
      <w:pPr>
        <w:pStyle w:val="2"/>
        <w:ind w:leftChars="-1" w:left="-2" w:firstLine="0"/>
        <w:jc w:val="both"/>
        <w:rPr>
          <w:b/>
          <w:bCs w:val="0"/>
          <w:color w:val="000000" w:themeColor="text1"/>
          <w:szCs w:val="32"/>
        </w:rPr>
      </w:pPr>
      <w:bookmarkStart w:id="115" w:name="_Toc41572239"/>
      <w:bookmarkStart w:id="116" w:name="_Toc28833"/>
      <w:bookmarkStart w:id="117" w:name="_Toc23273"/>
      <w:bookmarkStart w:id="118" w:name="_Toc44611573"/>
      <w:bookmarkStart w:id="119" w:name="_Toc25642"/>
      <w:bookmarkStart w:id="120" w:name="_Toc23258"/>
      <w:bookmarkStart w:id="121" w:name="_Toc44441623"/>
      <w:bookmarkStart w:id="122" w:name="_Toc6691"/>
      <w:bookmarkEnd w:id="115"/>
      <w:r>
        <w:rPr>
          <w:rFonts w:hint="eastAsia"/>
          <w:b/>
          <w:bCs w:val="0"/>
          <w:color w:val="000000" w:themeColor="text1"/>
          <w:szCs w:val="32"/>
        </w:rPr>
        <w:t>开展总体城市设计</w:t>
      </w:r>
      <w:bookmarkEnd w:id="116"/>
      <w:bookmarkEnd w:id="117"/>
      <w:bookmarkEnd w:id="118"/>
      <w:bookmarkEnd w:id="119"/>
      <w:bookmarkEnd w:id="120"/>
      <w:bookmarkEnd w:id="121"/>
      <w:r>
        <w:rPr>
          <w:rFonts w:hint="eastAsia"/>
          <w:b/>
          <w:bCs w:val="0"/>
          <w:color w:val="000000" w:themeColor="text1"/>
          <w:szCs w:val="32"/>
        </w:rPr>
        <w:t>研究</w:t>
      </w:r>
      <w:bookmarkEnd w:id="122"/>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将城市设计贯穿规划全过程。基于人与自然和谐共生的原则，研究市域生产、生活、生态的总体功能关系，</w:t>
      </w:r>
      <w:r>
        <w:rPr>
          <w:rFonts w:ascii="Times New Roman" w:eastAsia="仿宋_GB2312"/>
          <w:color w:val="000000" w:themeColor="text1"/>
          <w:sz w:val="32"/>
          <w:szCs w:val="32"/>
        </w:rPr>
        <w:t>优化</w:t>
      </w:r>
      <w:r>
        <w:rPr>
          <w:rFonts w:ascii="Times New Roman" w:eastAsia="仿宋_GB2312" w:hint="eastAsia"/>
          <w:color w:val="000000" w:themeColor="text1"/>
          <w:sz w:val="32"/>
          <w:szCs w:val="32"/>
        </w:rPr>
        <w:t>开发保护的约束性条件和管控边界，协调</w:t>
      </w:r>
      <w:r>
        <w:rPr>
          <w:rFonts w:ascii="Times New Roman" w:eastAsia="仿宋_GB2312"/>
          <w:color w:val="000000" w:themeColor="text1"/>
          <w:sz w:val="32"/>
          <w:szCs w:val="32"/>
        </w:rPr>
        <w:t>城镇乡村与山水林田湖草海等自然环境的</w:t>
      </w:r>
      <w:r>
        <w:rPr>
          <w:rFonts w:ascii="Times New Roman" w:eastAsia="仿宋_GB2312" w:hint="eastAsia"/>
          <w:color w:val="000000" w:themeColor="text1"/>
          <w:sz w:val="32"/>
          <w:szCs w:val="32"/>
        </w:rPr>
        <w:t>布局关系</w:t>
      </w:r>
      <w:r>
        <w:rPr>
          <w:rFonts w:ascii="Times New Roman" w:eastAsia="仿宋_GB2312"/>
          <w:color w:val="000000" w:themeColor="text1"/>
          <w:sz w:val="32"/>
          <w:szCs w:val="32"/>
        </w:rPr>
        <w:t>，</w:t>
      </w:r>
      <w:r>
        <w:rPr>
          <w:rFonts w:ascii="Times New Roman" w:eastAsia="仿宋_GB2312" w:hint="eastAsia"/>
          <w:color w:val="000000" w:themeColor="text1"/>
          <w:sz w:val="32"/>
          <w:szCs w:val="32"/>
        </w:rPr>
        <w:t>塑造具有特色和比较优势的市域国土空间总体格局和空间形态。基于本地自然和人文禀赋，加强</w:t>
      </w:r>
      <w:r>
        <w:rPr>
          <w:rFonts w:ascii="Times New Roman" w:eastAsia="仿宋_GB2312"/>
          <w:color w:val="000000" w:themeColor="text1"/>
          <w:sz w:val="32"/>
          <w:szCs w:val="32"/>
        </w:rPr>
        <w:t>自然与历史文化遗产保护</w:t>
      </w:r>
      <w:r>
        <w:rPr>
          <w:rFonts w:ascii="Times New Roman" w:eastAsia="仿宋_GB2312" w:hint="eastAsia"/>
          <w:color w:val="000000" w:themeColor="text1"/>
          <w:sz w:val="32"/>
          <w:szCs w:val="32"/>
        </w:rPr>
        <w:t>，研究城市</w:t>
      </w:r>
      <w:r>
        <w:rPr>
          <w:rFonts w:ascii="Times New Roman" w:eastAsia="仿宋_GB2312"/>
          <w:color w:val="000000" w:themeColor="text1"/>
          <w:sz w:val="32"/>
          <w:szCs w:val="32"/>
        </w:rPr>
        <w:t>开敞空间</w:t>
      </w:r>
      <w:r>
        <w:rPr>
          <w:rFonts w:ascii="Times New Roman" w:eastAsia="仿宋_GB2312" w:hint="eastAsia"/>
          <w:color w:val="000000" w:themeColor="text1"/>
          <w:sz w:val="32"/>
          <w:szCs w:val="32"/>
        </w:rPr>
        <w:t>系统</w:t>
      </w:r>
      <w:r>
        <w:rPr>
          <w:rFonts w:ascii="Times New Roman" w:eastAsia="仿宋_GB2312"/>
          <w:color w:val="000000" w:themeColor="text1"/>
          <w:sz w:val="32"/>
          <w:szCs w:val="32"/>
        </w:rPr>
        <w:t>、重要廊道</w:t>
      </w:r>
      <w:r>
        <w:rPr>
          <w:rFonts w:ascii="Times New Roman" w:eastAsia="仿宋_GB2312" w:hint="eastAsia"/>
          <w:color w:val="000000" w:themeColor="text1"/>
          <w:sz w:val="32"/>
          <w:szCs w:val="32"/>
        </w:rPr>
        <w:t>和</w:t>
      </w:r>
      <w:r>
        <w:rPr>
          <w:rFonts w:ascii="Times New Roman" w:eastAsia="仿宋_GB2312"/>
          <w:color w:val="000000" w:themeColor="text1"/>
          <w:sz w:val="32"/>
          <w:szCs w:val="32"/>
        </w:rPr>
        <w:t>节点、天际轮廓线等空间秩序控制引导方案，提高国土空间的舒适性</w:t>
      </w:r>
      <w:r>
        <w:rPr>
          <w:rFonts w:ascii="Times New Roman" w:eastAsia="仿宋_GB2312" w:hint="eastAsia"/>
          <w:color w:val="000000" w:themeColor="text1"/>
          <w:sz w:val="32"/>
          <w:szCs w:val="32"/>
        </w:rPr>
        <w:t>、</w:t>
      </w:r>
      <w:r>
        <w:rPr>
          <w:rFonts w:ascii="Times New Roman" w:eastAsia="仿宋_GB2312"/>
          <w:color w:val="000000" w:themeColor="text1"/>
          <w:sz w:val="32"/>
          <w:szCs w:val="32"/>
        </w:rPr>
        <w:t>艺术</w:t>
      </w:r>
      <w:r>
        <w:rPr>
          <w:rFonts w:ascii="Times New Roman" w:eastAsia="仿宋_GB2312" w:hint="eastAsia"/>
          <w:color w:val="000000" w:themeColor="text1"/>
          <w:sz w:val="32"/>
          <w:szCs w:val="32"/>
        </w:rPr>
        <w:t>性，提升国土空间品质和</w:t>
      </w:r>
      <w:r>
        <w:rPr>
          <w:rFonts w:ascii="Times New Roman" w:eastAsia="仿宋_GB2312"/>
          <w:color w:val="000000" w:themeColor="text1"/>
          <w:sz w:val="32"/>
          <w:szCs w:val="32"/>
        </w:rPr>
        <w:t>价值</w:t>
      </w:r>
      <w:r>
        <w:rPr>
          <w:rFonts w:ascii="Times New Roman" w:eastAsia="仿宋_GB2312" w:hint="eastAsia"/>
          <w:color w:val="000000" w:themeColor="text1"/>
          <w:sz w:val="32"/>
          <w:szCs w:val="32"/>
        </w:rPr>
        <w:t>。</w:t>
      </w:r>
    </w:p>
    <w:p w:rsidR="007B4818" w:rsidRDefault="00D73177">
      <w:pPr>
        <w:pStyle w:val="1"/>
        <w:spacing w:line="240" w:lineRule="auto"/>
        <w:jc w:val="both"/>
        <w:rPr>
          <w:color w:val="000000" w:themeColor="text1"/>
          <w:szCs w:val="32"/>
        </w:rPr>
      </w:pPr>
      <w:bookmarkStart w:id="123" w:name="_Toc46480237"/>
      <w:bookmarkStart w:id="124" w:name="_Toc46480238"/>
      <w:bookmarkStart w:id="125" w:name="_Toc46480236"/>
      <w:bookmarkStart w:id="126" w:name="_Toc24024"/>
      <w:bookmarkStart w:id="127" w:name="_Toc21148"/>
      <w:bookmarkStart w:id="128" w:name="_Toc38982751"/>
      <w:bookmarkStart w:id="129" w:name="_Toc17746"/>
      <w:bookmarkStart w:id="130" w:name="_Toc44611575"/>
      <w:bookmarkStart w:id="131" w:name="_Toc28178"/>
      <w:bookmarkStart w:id="132" w:name="_Toc2650"/>
      <w:bookmarkEnd w:id="94"/>
      <w:bookmarkEnd w:id="95"/>
      <w:bookmarkEnd w:id="123"/>
      <w:bookmarkEnd w:id="124"/>
      <w:bookmarkEnd w:id="125"/>
      <w:r>
        <w:rPr>
          <w:rFonts w:hint="eastAsia"/>
          <w:color w:val="000000" w:themeColor="text1"/>
          <w:szCs w:val="32"/>
        </w:rPr>
        <w:t>主要编制内容</w:t>
      </w:r>
      <w:bookmarkEnd w:id="126"/>
      <w:bookmarkEnd w:id="127"/>
      <w:bookmarkEnd w:id="128"/>
      <w:bookmarkEnd w:id="129"/>
      <w:bookmarkEnd w:id="130"/>
      <w:bookmarkEnd w:id="131"/>
      <w:bookmarkEnd w:id="132"/>
    </w:p>
    <w:p w:rsidR="007B4818" w:rsidRDefault="00D73177">
      <w:pPr>
        <w:pStyle w:val="2"/>
        <w:ind w:leftChars="-1" w:left="-2" w:firstLine="0"/>
        <w:jc w:val="both"/>
        <w:rPr>
          <w:b/>
          <w:bCs w:val="0"/>
          <w:color w:val="000000" w:themeColor="text1"/>
          <w:szCs w:val="32"/>
        </w:rPr>
      </w:pPr>
      <w:bookmarkStart w:id="133" w:name="_Toc2525"/>
      <w:bookmarkStart w:id="134" w:name="_Toc20146"/>
      <w:bookmarkStart w:id="135" w:name="_Toc4599"/>
      <w:bookmarkStart w:id="136" w:name="_Toc44611576"/>
      <w:bookmarkStart w:id="137" w:name="_Toc2936"/>
      <w:bookmarkStart w:id="138" w:name="_Toc13403"/>
      <w:r>
        <w:rPr>
          <w:rFonts w:hint="eastAsia"/>
          <w:b/>
          <w:bCs w:val="0"/>
          <w:color w:val="000000" w:themeColor="text1"/>
          <w:szCs w:val="32"/>
        </w:rPr>
        <w:t>落实主体功能定位，明确空间发展目标战略</w:t>
      </w:r>
      <w:bookmarkEnd w:id="133"/>
      <w:bookmarkEnd w:id="134"/>
      <w:bookmarkEnd w:id="135"/>
      <w:bookmarkEnd w:id="136"/>
      <w:bookmarkEnd w:id="137"/>
      <w:bookmarkEnd w:id="138"/>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强化总体规划的战略引领和底线管控作用，促进国土空间发展更加绿色安全、健康宜居、开放协调、富有活力并各具特色。</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w:t>
      </w:r>
      <w:r>
        <w:rPr>
          <w:rFonts w:ascii="Times New Roman" w:eastAsia="仿宋_GB2312"/>
          <w:color w:val="000000" w:themeColor="text1"/>
          <w:sz w:val="32"/>
          <w:szCs w:val="32"/>
        </w:rPr>
        <w:t>1</w:t>
      </w:r>
      <w:r>
        <w:rPr>
          <w:rFonts w:ascii="Times New Roman" w:eastAsia="仿宋_GB2312" w:hint="eastAsia"/>
          <w:color w:val="000000" w:themeColor="text1"/>
          <w:sz w:val="32"/>
          <w:szCs w:val="32"/>
        </w:rPr>
        <w:t>）围绕“两个一百年”奋斗目标和上位规划部署，结合本地发展阶段和特点，并针对存在问题、风险挑战和未来趋势，确定城市</w:t>
      </w:r>
      <w:r>
        <w:rPr>
          <w:rFonts w:ascii="Times New Roman" w:eastAsia="仿宋_GB2312"/>
          <w:color w:val="000000" w:themeColor="text1"/>
          <w:sz w:val="32"/>
          <w:szCs w:val="32"/>
        </w:rPr>
        <w:t>性质</w:t>
      </w:r>
      <w:r>
        <w:rPr>
          <w:rFonts w:ascii="Times New Roman" w:eastAsia="仿宋_GB2312" w:hint="eastAsia"/>
          <w:color w:val="000000" w:themeColor="text1"/>
          <w:sz w:val="32"/>
          <w:szCs w:val="32"/>
        </w:rPr>
        <w:t>和国土空间发展目标，提出国土空间开发保护战略。</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w:t>
      </w:r>
      <w:r>
        <w:rPr>
          <w:rFonts w:ascii="Times New Roman" w:eastAsia="仿宋_GB2312"/>
          <w:color w:val="000000" w:themeColor="text1"/>
          <w:sz w:val="32"/>
          <w:szCs w:val="32"/>
        </w:rPr>
        <w:t>2</w:t>
      </w:r>
      <w:r>
        <w:rPr>
          <w:rFonts w:ascii="Times New Roman" w:eastAsia="仿宋_GB2312" w:hint="eastAsia"/>
          <w:color w:val="000000" w:themeColor="text1"/>
          <w:sz w:val="32"/>
          <w:szCs w:val="32"/>
        </w:rPr>
        <w:t>）落实上位规划的约束性指标要求，结合经济社会发展要求，确定国土空间开发保护的量化指标（见附录表</w:t>
      </w:r>
      <w:r>
        <w:rPr>
          <w:rFonts w:ascii="Times New Roman" w:eastAsia="仿宋_GB2312" w:hint="eastAsia"/>
          <w:color w:val="000000" w:themeColor="text1"/>
          <w:sz w:val="32"/>
          <w:szCs w:val="32"/>
        </w:rPr>
        <w:t>D.1</w:t>
      </w:r>
      <w:r>
        <w:rPr>
          <w:rFonts w:ascii="Times New Roman" w:eastAsia="仿宋_GB2312" w:hint="eastAsia"/>
          <w:color w:val="000000" w:themeColor="text1"/>
          <w:sz w:val="32"/>
          <w:szCs w:val="32"/>
        </w:rPr>
        <w:t>、</w:t>
      </w:r>
      <w:r>
        <w:rPr>
          <w:rFonts w:ascii="Times New Roman" w:eastAsia="仿宋_GB2312"/>
          <w:color w:val="000000" w:themeColor="text1"/>
          <w:sz w:val="32"/>
          <w:szCs w:val="32"/>
        </w:rPr>
        <w:t>附录</w:t>
      </w:r>
      <w:r>
        <w:rPr>
          <w:rFonts w:ascii="Times New Roman" w:eastAsia="仿宋_GB2312"/>
          <w:color w:val="000000" w:themeColor="text1"/>
          <w:sz w:val="32"/>
          <w:szCs w:val="32"/>
        </w:rPr>
        <w:t>E</w:t>
      </w:r>
      <w:r>
        <w:rPr>
          <w:rFonts w:ascii="Times New Roman" w:eastAsia="仿宋_GB2312" w:hint="eastAsia"/>
          <w:color w:val="000000" w:themeColor="text1"/>
          <w:sz w:val="32"/>
          <w:szCs w:val="32"/>
        </w:rPr>
        <w:t>）。</w:t>
      </w:r>
    </w:p>
    <w:p w:rsidR="007B4818" w:rsidRDefault="00D73177">
      <w:pPr>
        <w:pStyle w:val="2"/>
        <w:ind w:leftChars="-1" w:left="-2" w:firstLine="0"/>
        <w:jc w:val="both"/>
        <w:rPr>
          <w:b/>
          <w:bCs w:val="0"/>
          <w:color w:val="000000" w:themeColor="text1"/>
          <w:szCs w:val="32"/>
        </w:rPr>
      </w:pPr>
      <w:bookmarkStart w:id="139" w:name="_Toc29032"/>
      <w:bookmarkStart w:id="140" w:name="_Toc44611577"/>
      <w:bookmarkStart w:id="141" w:name="_Toc2458"/>
      <w:bookmarkStart w:id="142" w:name="_Toc5969"/>
      <w:bookmarkStart w:id="143" w:name="_Toc30170"/>
      <w:bookmarkStart w:id="144" w:name="_Toc10822"/>
      <w:r>
        <w:rPr>
          <w:rFonts w:hint="eastAsia"/>
          <w:b/>
          <w:bCs w:val="0"/>
          <w:color w:val="000000" w:themeColor="text1"/>
          <w:szCs w:val="32"/>
        </w:rPr>
        <w:t>优化空间总体格局，促进区域协调、城乡融合发展</w:t>
      </w:r>
      <w:bookmarkEnd w:id="139"/>
      <w:bookmarkEnd w:id="140"/>
      <w:bookmarkEnd w:id="141"/>
      <w:bookmarkEnd w:id="142"/>
      <w:bookmarkEnd w:id="143"/>
      <w:bookmarkEnd w:id="144"/>
    </w:p>
    <w:p w:rsidR="007B4818" w:rsidRDefault="00D73177">
      <w:pPr>
        <w:ind w:firstLineChars="200" w:firstLine="640"/>
        <w:rPr>
          <w:rFonts w:ascii="Times New Roman" w:eastAsia="仿宋_GB2312"/>
          <w:bCs/>
          <w:color w:val="000000" w:themeColor="text1"/>
          <w:sz w:val="32"/>
          <w:szCs w:val="32"/>
        </w:rPr>
      </w:pPr>
      <w:r>
        <w:rPr>
          <w:rFonts w:ascii="Times New Roman" w:eastAsia="仿宋_GB2312" w:hint="eastAsia"/>
          <w:color w:val="000000" w:themeColor="text1"/>
          <w:sz w:val="32"/>
          <w:szCs w:val="32"/>
        </w:rPr>
        <w:t>落实国家和省的区域发展战略、</w:t>
      </w:r>
      <w:r>
        <w:rPr>
          <w:rFonts w:ascii="Times New Roman" w:eastAsia="仿宋_GB2312" w:hint="eastAsia"/>
          <w:bCs/>
          <w:color w:val="000000" w:themeColor="text1"/>
          <w:sz w:val="32"/>
          <w:szCs w:val="32"/>
        </w:rPr>
        <w:t>主体功能区战略，</w:t>
      </w:r>
      <w:r>
        <w:rPr>
          <w:rFonts w:ascii="Times New Roman" w:eastAsia="仿宋_GB2312" w:hint="eastAsia"/>
          <w:color w:val="000000" w:themeColor="text1"/>
          <w:sz w:val="32"/>
          <w:szCs w:val="32"/>
        </w:rPr>
        <w:t>以自然地理格局为基础</w:t>
      </w:r>
      <w:r>
        <w:rPr>
          <w:rFonts w:ascii="Times New Roman" w:eastAsia="仿宋_GB2312" w:hint="eastAsia"/>
          <w:bCs/>
          <w:color w:val="000000" w:themeColor="text1"/>
          <w:sz w:val="32"/>
          <w:szCs w:val="32"/>
        </w:rPr>
        <w:t>，形成</w:t>
      </w:r>
      <w:r>
        <w:rPr>
          <w:rFonts w:ascii="Times New Roman" w:eastAsia="仿宋_GB2312" w:hint="eastAsia"/>
          <w:color w:val="000000" w:themeColor="text1"/>
          <w:sz w:val="32"/>
          <w:szCs w:val="32"/>
        </w:rPr>
        <w:t>开放式、网络化、集约型、生态化的</w:t>
      </w:r>
      <w:r>
        <w:rPr>
          <w:rFonts w:ascii="Times New Roman" w:eastAsia="仿宋_GB2312" w:hint="eastAsia"/>
          <w:bCs/>
          <w:color w:val="000000" w:themeColor="text1"/>
          <w:sz w:val="32"/>
          <w:szCs w:val="32"/>
        </w:rPr>
        <w:t>国土空间总体格局。</w:t>
      </w:r>
    </w:p>
    <w:p w:rsidR="007B4818" w:rsidRDefault="00D73177">
      <w:pPr>
        <w:ind w:firstLineChars="200" w:firstLine="643"/>
        <w:rPr>
          <w:rFonts w:ascii="Times New Roman" w:eastAsia="仿宋_GB2312"/>
          <w:bCs/>
          <w:color w:val="000000" w:themeColor="text1"/>
          <w:sz w:val="32"/>
          <w:szCs w:val="32"/>
        </w:rPr>
      </w:pPr>
      <w:r>
        <w:rPr>
          <w:rFonts w:ascii="Times New Roman" w:eastAsia="仿宋_GB2312" w:hint="eastAsia"/>
          <w:b/>
          <w:color w:val="000000" w:themeColor="text1"/>
          <w:sz w:val="32"/>
          <w:szCs w:val="32"/>
        </w:rPr>
        <w:t>（</w:t>
      </w:r>
      <w:r>
        <w:rPr>
          <w:rFonts w:ascii="Times New Roman" w:eastAsia="仿宋_GB2312"/>
          <w:b/>
          <w:color w:val="000000" w:themeColor="text1"/>
          <w:sz w:val="32"/>
          <w:szCs w:val="32"/>
        </w:rPr>
        <w:t>1</w:t>
      </w:r>
      <w:r>
        <w:rPr>
          <w:rFonts w:ascii="Times New Roman" w:eastAsia="仿宋_GB2312" w:hint="eastAsia"/>
          <w:b/>
          <w:color w:val="000000" w:themeColor="text1"/>
          <w:sz w:val="32"/>
          <w:szCs w:val="32"/>
        </w:rPr>
        <w:t>）完善区域协调格局：</w:t>
      </w:r>
      <w:r>
        <w:rPr>
          <w:rFonts w:ascii="Times New Roman" w:eastAsia="仿宋_GB2312" w:hint="eastAsia"/>
          <w:bCs/>
          <w:color w:val="000000" w:themeColor="text1"/>
          <w:sz w:val="32"/>
          <w:szCs w:val="32"/>
        </w:rPr>
        <w:t>注重推动城市群、都市圈交通一体化，</w:t>
      </w:r>
      <w:r>
        <w:rPr>
          <w:rFonts w:ascii="Times New Roman" w:eastAsia="仿宋_GB2312" w:hint="eastAsia"/>
          <w:color w:val="000000" w:themeColor="text1"/>
          <w:sz w:val="32"/>
          <w:szCs w:val="32"/>
        </w:rPr>
        <w:t>发挥综合</w:t>
      </w:r>
      <w:r>
        <w:rPr>
          <w:rFonts w:ascii="Times New Roman" w:eastAsia="仿宋_GB2312" w:hint="eastAsia"/>
          <w:bCs/>
          <w:color w:val="000000" w:themeColor="text1"/>
          <w:sz w:val="32"/>
          <w:szCs w:val="32"/>
        </w:rPr>
        <w:t>交通对区域网络化布局的引领和支撑作用，重点解决资源和能源、生态环境、公共服务设施和基础设施、产业空间和邻避设施布局等区域协同问题。城镇密集地区的城市要提出跨行政区域的都市圈、城镇圈协调发展的规划内容，促进多中心、多层次、多节点、组团式、网络化发展，防止城市无序蔓延。其他地区在培育区域中心城市的同时，要注重发挥县城、重点特色镇等节点城镇作用，形成多节点、网络化的协同发展格局。</w:t>
      </w:r>
    </w:p>
    <w:p w:rsidR="007B4818" w:rsidRDefault="00D73177">
      <w:pPr>
        <w:ind w:firstLineChars="200" w:firstLine="643"/>
        <w:rPr>
          <w:rFonts w:ascii="Times New Roman" w:eastAsia="仿宋_GB2312"/>
          <w:color w:val="000000" w:themeColor="text1"/>
          <w:sz w:val="32"/>
          <w:szCs w:val="32"/>
        </w:rPr>
      </w:pPr>
      <w:r>
        <w:rPr>
          <w:rFonts w:ascii="Times New Roman" w:eastAsia="仿宋_GB2312" w:hint="eastAsia"/>
          <w:b/>
          <w:color w:val="000000" w:themeColor="text1"/>
          <w:sz w:val="32"/>
          <w:szCs w:val="32"/>
        </w:rPr>
        <w:t>（</w:t>
      </w:r>
      <w:r>
        <w:rPr>
          <w:rFonts w:ascii="Times New Roman" w:eastAsia="仿宋_GB2312"/>
          <w:b/>
          <w:color w:val="000000" w:themeColor="text1"/>
          <w:sz w:val="32"/>
          <w:szCs w:val="32"/>
        </w:rPr>
        <w:t>2</w:t>
      </w:r>
      <w:r>
        <w:rPr>
          <w:rFonts w:ascii="Times New Roman" w:eastAsia="仿宋_GB2312" w:hint="eastAsia"/>
          <w:b/>
          <w:color w:val="000000" w:themeColor="text1"/>
          <w:sz w:val="32"/>
          <w:szCs w:val="32"/>
        </w:rPr>
        <w:t>）优先确定生态保护空间：</w:t>
      </w:r>
      <w:r>
        <w:rPr>
          <w:rFonts w:ascii="Times New Roman" w:eastAsia="仿宋_GB2312" w:hint="eastAsia"/>
          <w:color w:val="000000" w:themeColor="text1"/>
          <w:sz w:val="32"/>
          <w:szCs w:val="32"/>
        </w:rPr>
        <w:t>明确自然保护地等生态重要和生态敏感地区，构建重要生态屏障、廊道和网络，形成连续、完整、系统的生态保护格局和开敞空间网络体系，维护生态安全和生物多样性。</w:t>
      </w:r>
    </w:p>
    <w:p w:rsidR="007B4818" w:rsidRDefault="00D73177">
      <w:pPr>
        <w:ind w:firstLineChars="200" w:firstLine="643"/>
        <w:rPr>
          <w:rFonts w:ascii="Times New Roman" w:eastAsia="仿宋_GB2312"/>
          <w:color w:val="000000" w:themeColor="text1"/>
          <w:sz w:val="32"/>
          <w:szCs w:val="32"/>
        </w:rPr>
      </w:pPr>
      <w:r>
        <w:rPr>
          <w:rFonts w:ascii="Times New Roman" w:eastAsia="仿宋_GB2312" w:hint="eastAsia"/>
          <w:b/>
          <w:bCs/>
          <w:color w:val="000000" w:themeColor="text1"/>
          <w:sz w:val="32"/>
          <w:szCs w:val="32"/>
        </w:rPr>
        <w:t>（</w:t>
      </w:r>
      <w:r>
        <w:rPr>
          <w:rFonts w:ascii="Times New Roman" w:eastAsia="仿宋_GB2312"/>
          <w:b/>
          <w:bCs/>
          <w:color w:val="000000" w:themeColor="text1"/>
          <w:sz w:val="32"/>
          <w:szCs w:val="32"/>
        </w:rPr>
        <w:t>3</w:t>
      </w:r>
      <w:r>
        <w:rPr>
          <w:rFonts w:ascii="Times New Roman" w:eastAsia="仿宋_GB2312" w:hint="eastAsia"/>
          <w:b/>
          <w:bCs/>
          <w:color w:val="000000" w:themeColor="text1"/>
          <w:sz w:val="32"/>
          <w:szCs w:val="32"/>
        </w:rPr>
        <w:t>）保障农业发展空间</w:t>
      </w:r>
      <w:r>
        <w:rPr>
          <w:rFonts w:ascii="Times New Roman" w:eastAsia="仿宋_GB2312" w:hint="eastAsia"/>
          <w:color w:val="000000" w:themeColor="text1"/>
          <w:sz w:val="32"/>
          <w:szCs w:val="32"/>
        </w:rPr>
        <w:t>：</w:t>
      </w:r>
      <w:r>
        <w:rPr>
          <w:rFonts w:ascii="Times New Roman" w:eastAsia="仿宋_GB2312" w:hAnsi="Times New Roman" w:hint="eastAsia"/>
          <w:color w:val="000000" w:themeColor="text1"/>
          <w:sz w:val="32"/>
          <w:szCs w:val="28"/>
        </w:rPr>
        <w:t>优化农业（畜牧业）生产空间布局，引导布局都市农业，提高就近粮食保障能力和蔬菜自给率，</w:t>
      </w:r>
      <w:r>
        <w:rPr>
          <w:rFonts w:ascii="Times New Roman" w:eastAsia="仿宋_GB2312"/>
          <w:color w:val="000000" w:themeColor="text1"/>
          <w:sz w:val="32"/>
          <w:szCs w:val="32"/>
        </w:rPr>
        <w:t>重点</w:t>
      </w:r>
      <w:r>
        <w:rPr>
          <w:rFonts w:ascii="Times New Roman" w:eastAsia="仿宋_GB2312" w:hint="eastAsia"/>
          <w:color w:val="000000" w:themeColor="text1"/>
          <w:sz w:val="32"/>
          <w:szCs w:val="32"/>
        </w:rPr>
        <w:t>保护集中连片的优质耕地、草地，明确具备整治潜力的区域，</w:t>
      </w:r>
      <w:r>
        <w:rPr>
          <w:rFonts w:ascii="Times New Roman" w:eastAsia="仿宋_GB2312" w:hAnsi="Times New Roman" w:hint="eastAsia"/>
          <w:color w:val="000000" w:themeColor="text1"/>
          <w:sz w:val="32"/>
          <w:szCs w:val="28"/>
        </w:rPr>
        <w:t>以及生态退耕、耕地补充的区域</w:t>
      </w:r>
      <w:r>
        <w:rPr>
          <w:rFonts w:ascii="Times New Roman" w:eastAsia="仿宋_GB2312" w:hint="eastAsia"/>
          <w:color w:val="000000" w:themeColor="text1"/>
          <w:sz w:val="32"/>
          <w:szCs w:val="32"/>
        </w:rPr>
        <w:t>。</w:t>
      </w:r>
      <w:r>
        <w:rPr>
          <w:rFonts w:ascii="Times New Roman" w:eastAsia="仿宋_GB2312" w:hAnsi="Times New Roman" w:hint="eastAsia"/>
          <w:color w:val="000000" w:themeColor="text1"/>
          <w:sz w:val="32"/>
          <w:szCs w:val="28"/>
        </w:rPr>
        <w:t>沿海城市要合理安排集约化海水养殖和现代化海洋牧场空间布局。</w:t>
      </w:r>
    </w:p>
    <w:p w:rsidR="007B4818" w:rsidRDefault="00D73177">
      <w:pPr>
        <w:ind w:firstLineChars="200" w:firstLine="643"/>
        <w:rPr>
          <w:rFonts w:ascii="Times New Roman" w:eastAsia="仿宋_GB2312"/>
          <w:color w:val="000000" w:themeColor="text1"/>
          <w:sz w:val="32"/>
          <w:szCs w:val="32"/>
        </w:rPr>
      </w:pPr>
      <w:r>
        <w:rPr>
          <w:rFonts w:ascii="Times New Roman" w:eastAsia="仿宋_GB2312" w:hint="eastAsia"/>
          <w:b/>
          <w:color w:val="000000" w:themeColor="text1"/>
          <w:sz w:val="32"/>
          <w:szCs w:val="32"/>
        </w:rPr>
        <w:t>（</w:t>
      </w:r>
      <w:r>
        <w:rPr>
          <w:rFonts w:ascii="Times New Roman" w:eastAsia="仿宋_GB2312"/>
          <w:b/>
          <w:color w:val="000000" w:themeColor="text1"/>
          <w:sz w:val="32"/>
          <w:szCs w:val="32"/>
        </w:rPr>
        <w:t>4</w:t>
      </w:r>
      <w:r>
        <w:rPr>
          <w:rFonts w:ascii="Times New Roman" w:eastAsia="仿宋_GB2312" w:hint="eastAsia"/>
          <w:b/>
          <w:color w:val="000000" w:themeColor="text1"/>
          <w:sz w:val="32"/>
          <w:szCs w:val="32"/>
        </w:rPr>
        <w:t>）融合城乡发展空间：</w:t>
      </w:r>
      <w:r>
        <w:rPr>
          <w:rFonts w:ascii="Times New Roman" w:eastAsia="仿宋_GB2312" w:hint="eastAsia"/>
          <w:color w:val="000000" w:themeColor="text1"/>
          <w:sz w:val="32"/>
          <w:szCs w:val="32"/>
        </w:rPr>
        <w:t>围绕新型城镇化、乡村振兴、产城融合，明确城镇体系的规模等级和空间结构，提出村庄布局优化的原则和要求。完善城乡基础设施和公共服务设施网络体系，改善可达性，构建不同层次和类型、功能复合、安全韧性的城乡生活圈。</w:t>
      </w:r>
    </w:p>
    <w:p w:rsidR="007B4818" w:rsidRDefault="00D73177">
      <w:pPr>
        <w:ind w:firstLineChars="200" w:firstLine="643"/>
        <w:rPr>
          <w:rFonts w:ascii="Times New Roman" w:eastAsia="仿宋_GB2312"/>
          <w:color w:val="000000" w:themeColor="text1"/>
          <w:sz w:val="32"/>
          <w:szCs w:val="32"/>
        </w:rPr>
      </w:pPr>
      <w:r>
        <w:rPr>
          <w:rFonts w:ascii="Times New Roman" w:eastAsia="仿宋_GB2312" w:hint="eastAsia"/>
          <w:b/>
          <w:color w:val="000000" w:themeColor="text1"/>
          <w:sz w:val="32"/>
          <w:szCs w:val="32"/>
        </w:rPr>
        <w:t>（</w:t>
      </w:r>
      <w:r>
        <w:rPr>
          <w:rFonts w:ascii="Times New Roman" w:eastAsia="仿宋_GB2312"/>
          <w:b/>
          <w:color w:val="000000" w:themeColor="text1"/>
          <w:sz w:val="32"/>
          <w:szCs w:val="32"/>
        </w:rPr>
        <w:t>5</w:t>
      </w:r>
      <w:r>
        <w:rPr>
          <w:rFonts w:ascii="Times New Roman" w:eastAsia="仿宋_GB2312" w:hint="eastAsia"/>
          <w:b/>
          <w:color w:val="000000" w:themeColor="text1"/>
          <w:sz w:val="32"/>
          <w:szCs w:val="32"/>
        </w:rPr>
        <w:t>）彰显地方特色空间：</w:t>
      </w:r>
      <w:r>
        <w:rPr>
          <w:rFonts w:ascii="Times New Roman" w:eastAsia="仿宋_GB2312" w:hint="eastAsia"/>
          <w:color w:val="000000" w:themeColor="text1"/>
          <w:sz w:val="32"/>
          <w:szCs w:val="32"/>
        </w:rPr>
        <w:t>发掘本地自然和人文资源，系统保护自然景观资源和历史文化遗存，划定自然和人文资源的整体保护区域。</w:t>
      </w:r>
    </w:p>
    <w:p w:rsidR="007B4818" w:rsidRDefault="00D73177">
      <w:pPr>
        <w:ind w:firstLineChars="200" w:firstLine="643"/>
        <w:rPr>
          <w:rFonts w:ascii="Times New Roman" w:eastAsia="仿宋_GB2312"/>
          <w:color w:val="000000" w:themeColor="text1"/>
          <w:sz w:val="32"/>
          <w:szCs w:val="32"/>
        </w:rPr>
      </w:pPr>
      <w:r>
        <w:rPr>
          <w:rFonts w:ascii="Times New Roman" w:eastAsia="仿宋_GB2312" w:hint="eastAsia"/>
          <w:b/>
          <w:color w:val="000000" w:themeColor="text1"/>
          <w:sz w:val="32"/>
          <w:szCs w:val="32"/>
        </w:rPr>
        <w:t>（</w:t>
      </w:r>
      <w:r>
        <w:rPr>
          <w:rFonts w:ascii="Times New Roman" w:eastAsia="仿宋_GB2312" w:hint="eastAsia"/>
          <w:b/>
          <w:color w:val="000000" w:themeColor="text1"/>
          <w:sz w:val="32"/>
          <w:szCs w:val="32"/>
        </w:rPr>
        <w:t>6</w:t>
      </w:r>
      <w:r>
        <w:rPr>
          <w:rFonts w:ascii="Times New Roman" w:eastAsia="仿宋_GB2312" w:hint="eastAsia"/>
          <w:b/>
          <w:color w:val="000000" w:themeColor="text1"/>
          <w:sz w:val="32"/>
          <w:szCs w:val="32"/>
        </w:rPr>
        <w:t>）协同地上地下空间：</w:t>
      </w:r>
      <w:r>
        <w:rPr>
          <w:rFonts w:ascii="Times New Roman" w:eastAsia="仿宋_GB2312" w:hint="eastAsia"/>
          <w:color w:val="000000" w:themeColor="text1"/>
          <w:sz w:val="32"/>
          <w:szCs w:val="32"/>
        </w:rPr>
        <w:t>提出地下空间和重要矿产资源保护开发的重点区域，处理好地上与地下、矿产资源勘查开采与生态保护红线及永久基本农田等控制线的关系。提出城市地下空间的开发目标、规模、重点区域、分层分区和协调连通</w:t>
      </w:r>
      <w:r>
        <w:rPr>
          <w:rFonts w:ascii="Times New Roman" w:eastAsia="仿宋_GB2312"/>
          <w:color w:val="000000" w:themeColor="text1"/>
          <w:sz w:val="32"/>
          <w:szCs w:val="32"/>
        </w:rPr>
        <w:t>的</w:t>
      </w:r>
      <w:r>
        <w:rPr>
          <w:rFonts w:ascii="Times New Roman" w:eastAsia="仿宋_GB2312" w:hint="eastAsia"/>
          <w:color w:val="000000" w:themeColor="text1"/>
          <w:sz w:val="32"/>
          <w:szCs w:val="32"/>
        </w:rPr>
        <w:t>管控要求。</w:t>
      </w:r>
    </w:p>
    <w:p w:rsidR="007B4818" w:rsidRDefault="00D73177">
      <w:pPr>
        <w:ind w:firstLineChars="200" w:firstLine="643"/>
        <w:rPr>
          <w:rFonts w:ascii="Times New Roman" w:eastAsia="仿宋_GB2312"/>
          <w:color w:val="000000" w:themeColor="text1"/>
          <w:sz w:val="32"/>
          <w:szCs w:val="32"/>
        </w:rPr>
      </w:pPr>
      <w:r>
        <w:rPr>
          <w:rFonts w:ascii="Times New Roman" w:eastAsia="仿宋_GB2312" w:hint="eastAsia"/>
          <w:b/>
          <w:color w:val="000000" w:themeColor="text1"/>
          <w:sz w:val="32"/>
          <w:szCs w:val="32"/>
        </w:rPr>
        <w:t>（</w:t>
      </w:r>
      <w:r>
        <w:rPr>
          <w:rFonts w:ascii="Times New Roman" w:eastAsia="仿宋_GB2312" w:hint="eastAsia"/>
          <w:b/>
          <w:color w:val="000000" w:themeColor="text1"/>
          <w:sz w:val="32"/>
          <w:szCs w:val="32"/>
        </w:rPr>
        <w:t>7</w:t>
      </w:r>
      <w:r>
        <w:rPr>
          <w:rFonts w:ascii="Times New Roman" w:eastAsia="仿宋_GB2312" w:hint="eastAsia"/>
          <w:b/>
          <w:color w:val="000000" w:themeColor="text1"/>
          <w:sz w:val="32"/>
          <w:szCs w:val="32"/>
        </w:rPr>
        <w:t>）统筹陆海空间：</w:t>
      </w:r>
      <w:r>
        <w:rPr>
          <w:rFonts w:ascii="Times New Roman" w:eastAsia="仿宋_GB2312" w:hint="eastAsia"/>
          <w:color w:val="000000" w:themeColor="text1"/>
          <w:sz w:val="32"/>
          <w:szCs w:val="32"/>
        </w:rPr>
        <w:t>沿海城市应按照陆海统筹原则确定生态保护红线，并提出海岸带两侧陆海功能衔接要求，制定陆域和海域功能相互协调的规划对策。</w:t>
      </w:r>
    </w:p>
    <w:p w:rsidR="007B4818" w:rsidRDefault="00D73177">
      <w:pPr>
        <w:ind w:firstLineChars="200" w:firstLine="643"/>
        <w:rPr>
          <w:rFonts w:ascii="Times New Roman" w:eastAsia="仿宋_GB2312"/>
          <w:color w:val="000000" w:themeColor="text1"/>
          <w:sz w:val="32"/>
          <w:szCs w:val="32"/>
        </w:rPr>
      </w:pPr>
      <w:r>
        <w:rPr>
          <w:rFonts w:ascii="Times New Roman" w:eastAsia="仿宋_GB2312" w:hint="eastAsia"/>
          <w:b/>
          <w:bCs/>
          <w:color w:val="000000" w:themeColor="text1"/>
          <w:sz w:val="32"/>
          <w:szCs w:val="32"/>
        </w:rPr>
        <w:t>（</w:t>
      </w:r>
      <w:r>
        <w:rPr>
          <w:rFonts w:ascii="Times New Roman" w:eastAsia="仿宋_GB2312"/>
          <w:b/>
          <w:bCs/>
          <w:color w:val="000000" w:themeColor="text1"/>
          <w:sz w:val="32"/>
          <w:szCs w:val="32"/>
        </w:rPr>
        <w:t>8</w:t>
      </w:r>
      <w:r>
        <w:rPr>
          <w:rFonts w:ascii="Times New Roman" w:eastAsia="仿宋_GB2312" w:hint="eastAsia"/>
          <w:b/>
          <w:bCs/>
          <w:color w:val="000000" w:themeColor="text1"/>
          <w:sz w:val="32"/>
          <w:szCs w:val="32"/>
        </w:rPr>
        <w:t>）明确战略性的预留空间</w:t>
      </w:r>
      <w:r>
        <w:rPr>
          <w:rFonts w:ascii="Times New Roman" w:eastAsia="仿宋_GB2312" w:hint="eastAsia"/>
          <w:color w:val="000000" w:themeColor="text1"/>
          <w:sz w:val="32"/>
          <w:szCs w:val="32"/>
        </w:rPr>
        <w:t>，应对未来发展的不确定性。</w:t>
      </w:r>
    </w:p>
    <w:p w:rsidR="007B4818" w:rsidRDefault="00D73177">
      <w:pPr>
        <w:pStyle w:val="2"/>
        <w:ind w:leftChars="-1" w:left="-2" w:firstLine="0"/>
        <w:jc w:val="both"/>
        <w:rPr>
          <w:b/>
          <w:bCs w:val="0"/>
          <w:color w:val="000000" w:themeColor="text1"/>
          <w:szCs w:val="32"/>
        </w:rPr>
      </w:pPr>
      <w:bookmarkStart w:id="145" w:name="_Toc39158180"/>
      <w:bookmarkStart w:id="146" w:name="_Toc39158753"/>
      <w:bookmarkStart w:id="147" w:name="_Toc39158648"/>
      <w:bookmarkStart w:id="148" w:name="_Toc15782"/>
      <w:bookmarkStart w:id="149" w:name="_Toc44611583"/>
      <w:bookmarkStart w:id="150" w:name="_Toc3824"/>
      <w:bookmarkStart w:id="151" w:name="_Toc3381"/>
      <w:bookmarkStart w:id="152" w:name="_Toc25696"/>
      <w:bookmarkStart w:id="153" w:name="_Toc9356"/>
      <w:bookmarkEnd w:id="145"/>
      <w:bookmarkEnd w:id="146"/>
      <w:bookmarkEnd w:id="147"/>
      <w:r>
        <w:rPr>
          <w:rFonts w:hint="eastAsia"/>
          <w:b/>
          <w:bCs w:val="0"/>
          <w:color w:val="000000" w:themeColor="text1"/>
          <w:szCs w:val="32"/>
        </w:rPr>
        <w:t>强化资源环境底线约束，推进生态优先、绿色发展</w:t>
      </w:r>
      <w:bookmarkEnd w:id="148"/>
      <w:bookmarkEnd w:id="149"/>
      <w:bookmarkEnd w:id="150"/>
      <w:bookmarkEnd w:id="151"/>
      <w:bookmarkEnd w:id="152"/>
      <w:bookmarkEnd w:id="153"/>
    </w:p>
    <w:p w:rsidR="007B4818" w:rsidRDefault="00D73177">
      <w:pPr>
        <w:pStyle w:val="af2"/>
        <w:ind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基于资源环境承载能力和国土安全要求，明确重要资源利用上限，划定各类控制线，作为开发建设不可逾越的红线。</w:t>
      </w:r>
    </w:p>
    <w:p w:rsidR="007B4818" w:rsidRDefault="00D73177">
      <w:pPr>
        <w:pStyle w:val="af2"/>
        <w:ind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w:t>
      </w:r>
      <w:r>
        <w:rPr>
          <w:rFonts w:ascii="Times New Roman" w:eastAsia="仿宋_GB2312" w:hint="eastAsia"/>
          <w:color w:val="000000" w:themeColor="text1"/>
          <w:sz w:val="32"/>
          <w:szCs w:val="32"/>
        </w:rPr>
        <w:t>1</w:t>
      </w:r>
      <w:r>
        <w:rPr>
          <w:rFonts w:ascii="Times New Roman" w:eastAsia="仿宋_GB2312" w:hint="eastAsia"/>
          <w:color w:val="000000" w:themeColor="text1"/>
          <w:sz w:val="32"/>
          <w:szCs w:val="32"/>
        </w:rPr>
        <w:t>）落实上位国土空间规划确定的生态保护红线、永久基本农田、城镇开发边界（以下简称“三条控制线”）</w:t>
      </w:r>
      <w:r>
        <w:rPr>
          <w:rFonts w:ascii="Times New Roman" w:eastAsia="仿宋_GB2312"/>
          <w:color w:val="000000" w:themeColor="text1"/>
          <w:sz w:val="32"/>
          <w:szCs w:val="32"/>
        </w:rPr>
        <w:t>等</w:t>
      </w:r>
      <w:r>
        <w:rPr>
          <w:rFonts w:ascii="Times New Roman" w:eastAsia="仿宋_GB2312" w:hint="eastAsia"/>
          <w:color w:val="000000" w:themeColor="text1"/>
          <w:sz w:val="32"/>
          <w:szCs w:val="32"/>
        </w:rPr>
        <w:t>划定要求，统筹划定“三条控制线”。各地可结合地方实际，提出历史文化、矿产资源等其他需要保护和控制的底线要求。城镇开发边界具体划定方法详见附录</w:t>
      </w:r>
      <w:r>
        <w:rPr>
          <w:rFonts w:ascii="Times New Roman" w:eastAsia="仿宋_GB2312" w:hint="eastAsia"/>
          <w:color w:val="000000" w:themeColor="text1"/>
          <w:sz w:val="32"/>
          <w:szCs w:val="32"/>
        </w:rPr>
        <w:t>G</w:t>
      </w:r>
      <w:r>
        <w:rPr>
          <w:rFonts w:ascii="Times New Roman" w:eastAsia="仿宋_GB2312" w:hint="eastAsia"/>
          <w:color w:val="000000" w:themeColor="text1"/>
          <w:sz w:val="32"/>
          <w:szCs w:val="32"/>
        </w:rPr>
        <w:t>。</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w:t>
      </w:r>
      <w:r>
        <w:rPr>
          <w:rFonts w:ascii="Times New Roman" w:eastAsia="仿宋_GB2312" w:hint="eastAsia"/>
          <w:color w:val="000000" w:themeColor="text1"/>
          <w:sz w:val="32"/>
          <w:szCs w:val="32"/>
        </w:rPr>
        <w:t>2</w:t>
      </w:r>
      <w:r>
        <w:rPr>
          <w:rFonts w:ascii="Times New Roman" w:eastAsia="仿宋_GB2312" w:hint="eastAsia"/>
          <w:color w:val="000000" w:themeColor="text1"/>
          <w:sz w:val="32"/>
          <w:szCs w:val="32"/>
        </w:rPr>
        <w:t>）制定水资源供需平衡方案，明确水资源利用上限。按照以水定城、以水定地、以水定人、以水定产原则，优化生产、生活、生态用水结构和空间布局，重视雨水和再生水等资源利用，建设节水型城市。</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w:t>
      </w:r>
      <w:r>
        <w:rPr>
          <w:rFonts w:ascii="Times New Roman" w:eastAsia="仿宋_GB2312"/>
          <w:color w:val="000000" w:themeColor="text1"/>
          <w:sz w:val="32"/>
          <w:szCs w:val="32"/>
        </w:rPr>
        <w:t>3</w:t>
      </w:r>
      <w:r>
        <w:rPr>
          <w:rFonts w:ascii="Times New Roman" w:eastAsia="仿宋_GB2312"/>
          <w:color w:val="000000" w:themeColor="text1"/>
          <w:sz w:val="32"/>
          <w:szCs w:val="32"/>
        </w:rPr>
        <w:t>）</w:t>
      </w:r>
      <w:r>
        <w:rPr>
          <w:rFonts w:ascii="Times New Roman" w:eastAsia="仿宋_GB2312" w:hint="eastAsia"/>
          <w:color w:val="000000" w:themeColor="text1"/>
          <w:sz w:val="32"/>
          <w:szCs w:val="32"/>
        </w:rPr>
        <w:t>制定能源供需平衡方案，落实碳排放减量任务，控制能源消耗总量。优化能源结构，推动风、光、水、地热等本地清洁能源利用，提高可再生能源比例，鼓励分布式、网络化能源布局，建设低碳城市。</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Ansi="Times New Roman" w:hint="eastAsia"/>
          <w:color w:val="000000" w:themeColor="text1"/>
          <w:sz w:val="32"/>
          <w:szCs w:val="28"/>
        </w:rPr>
        <w:t>（</w:t>
      </w:r>
      <w:r>
        <w:rPr>
          <w:rFonts w:ascii="Times New Roman" w:eastAsia="仿宋_GB2312" w:hAnsi="Times New Roman"/>
          <w:color w:val="000000" w:themeColor="text1"/>
          <w:sz w:val="32"/>
          <w:szCs w:val="28"/>
        </w:rPr>
        <w:t>4</w:t>
      </w:r>
      <w:r>
        <w:rPr>
          <w:rFonts w:ascii="Times New Roman" w:eastAsia="仿宋_GB2312" w:hAnsi="Times New Roman" w:hint="eastAsia"/>
          <w:color w:val="000000" w:themeColor="text1"/>
          <w:sz w:val="32"/>
          <w:szCs w:val="28"/>
        </w:rPr>
        <w:t>）基于地域自然环境条件，严格保护低洼地等调蓄空间，明确海洋、河湖水系、湿地、蓄滞洪区和水源涵养地的保护范围，确定海岸线、河湖自然岸线的保护措施。明确天然林、生态公益林、基本草原等为主体的林地、草地保护区域。</w:t>
      </w:r>
    </w:p>
    <w:p w:rsidR="007B4818" w:rsidRDefault="00D73177">
      <w:pPr>
        <w:pStyle w:val="2"/>
        <w:ind w:left="0" w:firstLine="0"/>
        <w:jc w:val="both"/>
        <w:rPr>
          <w:b/>
          <w:bCs w:val="0"/>
          <w:color w:val="000000" w:themeColor="text1"/>
          <w:szCs w:val="32"/>
        </w:rPr>
      </w:pPr>
      <w:bookmarkStart w:id="154" w:name="_Toc24354"/>
      <w:bookmarkStart w:id="155" w:name="_Toc4187"/>
      <w:bookmarkStart w:id="156" w:name="_Toc11440"/>
      <w:bookmarkStart w:id="157" w:name="_Toc14236"/>
      <w:bookmarkStart w:id="158" w:name="_Toc44611584"/>
      <w:bookmarkStart w:id="159" w:name="_Toc27099"/>
      <w:bookmarkStart w:id="160" w:name="_Toc38982758"/>
      <w:r>
        <w:rPr>
          <w:rFonts w:hint="eastAsia"/>
          <w:b/>
          <w:bCs w:val="0"/>
          <w:color w:val="000000" w:themeColor="text1"/>
          <w:szCs w:val="32"/>
        </w:rPr>
        <w:t>优化空间结构，提升连通性，促进节约集约、高质量发展</w:t>
      </w:r>
      <w:bookmarkEnd w:id="154"/>
      <w:bookmarkEnd w:id="155"/>
      <w:bookmarkEnd w:id="156"/>
      <w:bookmarkEnd w:id="157"/>
      <w:bookmarkEnd w:id="158"/>
      <w:bookmarkEnd w:id="159"/>
    </w:p>
    <w:bookmarkEnd w:id="160"/>
    <w:p w:rsidR="007B4818" w:rsidRDefault="00D73177">
      <w:pPr>
        <w:ind w:firstLineChars="200" w:firstLine="640"/>
        <w:rPr>
          <w:rFonts w:ascii="Times New Roman" w:eastAsia="仿宋_GB2312"/>
          <w:color w:val="000000" w:themeColor="text1"/>
          <w:sz w:val="32"/>
          <w:szCs w:val="32"/>
        </w:rPr>
      </w:pPr>
      <w:r>
        <w:rPr>
          <w:rFonts w:ascii="Times New Roman" w:eastAsia="仿宋_GB2312"/>
          <w:color w:val="000000" w:themeColor="text1"/>
          <w:sz w:val="32"/>
          <w:szCs w:val="32"/>
        </w:rPr>
        <w:t>依据</w:t>
      </w:r>
      <w:r>
        <w:rPr>
          <w:rFonts w:ascii="Times New Roman" w:eastAsia="仿宋_GB2312" w:hint="eastAsia"/>
          <w:color w:val="000000" w:themeColor="text1"/>
          <w:sz w:val="32"/>
          <w:szCs w:val="32"/>
        </w:rPr>
        <w:t>国土空间</w:t>
      </w:r>
      <w:r>
        <w:rPr>
          <w:rFonts w:ascii="Times New Roman" w:eastAsia="仿宋_GB2312"/>
          <w:color w:val="000000" w:themeColor="text1"/>
          <w:sz w:val="32"/>
          <w:szCs w:val="32"/>
        </w:rPr>
        <w:t>开发保护总体格局</w:t>
      </w:r>
      <w:r>
        <w:rPr>
          <w:rFonts w:ascii="Times New Roman" w:eastAsia="仿宋_GB2312" w:hint="eastAsia"/>
          <w:color w:val="000000" w:themeColor="text1"/>
          <w:sz w:val="32"/>
          <w:szCs w:val="32"/>
        </w:rPr>
        <w:t>，注重城乡融合、产城融合，优化城市功能布局和</w:t>
      </w:r>
      <w:r>
        <w:rPr>
          <w:rFonts w:ascii="Times New Roman" w:eastAsia="仿宋_GB2312"/>
          <w:color w:val="000000" w:themeColor="text1"/>
          <w:sz w:val="32"/>
          <w:szCs w:val="32"/>
        </w:rPr>
        <w:t>空间</w:t>
      </w:r>
      <w:r>
        <w:rPr>
          <w:rFonts w:ascii="Times New Roman" w:eastAsia="仿宋_GB2312" w:hint="eastAsia"/>
          <w:color w:val="000000" w:themeColor="text1"/>
          <w:sz w:val="32"/>
          <w:szCs w:val="32"/>
        </w:rPr>
        <w:t>结构，改善空间连通性和可达性，促进形成高质量发展的新增长点。</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bCs/>
          <w:color w:val="000000" w:themeColor="text1"/>
          <w:sz w:val="32"/>
          <w:szCs w:val="32"/>
        </w:rPr>
        <w:t>（</w:t>
      </w:r>
      <w:r>
        <w:rPr>
          <w:rFonts w:ascii="Times New Roman" w:eastAsia="仿宋_GB2312"/>
          <w:bCs/>
          <w:color w:val="000000" w:themeColor="text1"/>
          <w:sz w:val="32"/>
          <w:szCs w:val="32"/>
        </w:rPr>
        <w:t>1</w:t>
      </w:r>
      <w:r>
        <w:rPr>
          <w:rFonts w:ascii="Times New Roman" w:eastAsia="仿宋_GB2312" w:hint="eastAsia"/>
          <w:bCs/>
          <w:color w:val="000000" w:themeColor="text1"/>
          <w:sz w:val="32"/>
          <w:szCs w:val="32"/>
        </w:rPr>
        <w:t>）按照主体功能定位和空间治理要求，优化城市功能布局和空间结构，划分规划分区（参考附录</w:t>
      </w:r>
      <w:r>
        <w:rPr>
          <w:rFonts w:ascii="Times New Roman" w:eastAsia="仿宋_GB2312" w:hint="eastAsia"/>
          <w:bCs/>
          <w:color w:val="000000" w:themeColor="text1"/>
          <w:sz w:val="32"/>
          <w:szCs w:val="32"/>
        </w:rPr>
        <w:t>B</w:t>
      </w:r>
      <w:r>
        <w:rPr>
          <w:rFonts w:ascii="Times New Roman" w:eastAsia="仿宋_GB2312" w:hint="eastAsia"/>
          <w:bCs/>
          <w:color w:val="000000" w:themeColor="text1"/>
          <w:sz w:val="32"/>
          <w:szCs w:val="32"/>
        </w:rPr>
        <w:t>）。其中，中心城区和沿海城市的海洋发展区应细化至二级规划分区</w:t>
      </w:r>
      <w:r>
        <w:rPr>
          <w:rFonts w:ascii="Times New Roman" w:eastAsia="仿宋_GB2312" w:hint="eastAsia"/>
          <w:color w:val="000000" w:themeColor="text1"/>
          <w:sz w:val="32"/>
          <w:szCs w:val="32"/>
        </w:rPr>
        <w:t>。</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w:t>
      </w:r>
      <w:r>
        <w:rPr>
          <w:rFonts w:ascii="Times New Roman" w:eastAsia="仿宋_GB2312"/>
          <w:color w:val="000000" w:themeColor="text1"/>
          <w:sz w:val="32"/>
          <w:szCs w:val="32"/>
        </w:rPr>
        <w:t>2</w:t>
      </w:r>
      <w:r>
        <w:rPr>
          <w:rFonts w:ascii="Times New Roman" w:eastAsia="仿宋_GB2312" w:hint="eastAsia"/>
          <w:color w:val="000000" w:themeColor="text1"/>
          <w:sz w:val="32"/>
          <w:szCs w:val="32"/>
        </w:rPr>
        <w:t>）落实上位规划指标，以盘活存量为重点明确用途结构优化方向，确定全域主要用地用海的规模和比例，制定市域国土空间功能结构调整</w:t>
      </w:r>
      <w:r>
        <w:rPr>
          <w:rFonts w:ascii="Times New Roman" w:eastAsia="仿宋_GB2312"/>
          <w:color w:val="000000" w:themeColor="text1"/>
          <w:sz w:val="32"/>
          <w:szCs w:val="32"/>
        </w:rPr>
        <w:t>表</w:t>
      </w:r>
      <w:r>
        <w:rPr>
          <w:rFonts w:ascii="Times New Roman" w:eastAsia="仿宋_GB2312" w:hint="eastAsia"/>
          <w:color w:val="000000" w:themeColor="text1"/>
          <w:sz w:val="32"/>
          <w:szCs w:val="32"/>
        </w:rPr>
        <w:t>（见附录表</w:t>
      </w:r>
      <w:r>
        <w:rPr>
          <w:rFonts w:ascii="Times New Roman" w:eastAsia="仿宋_GB2312"/>
          <w:color w:val="000000" w:themeColor="text1"/>
          <w:sz w:val="32"/>
          <w:szCs w:val="32"/>
        </w:rPr>
        <w:t>D.2</w:t>
      </w:r>
      <w:r>
        <w:rPr>
          <w:rFonts w:ascii="Times New Roman" w:eastAsia="仿宋_GB2312" w:hint="eastAsia"/>
          <w:color w:val="000000" w:themeColor="text1"/>
          <w:sz w:val="32"/>
          <w:szCs w:val="32"/>
        </w:rPr>
        <w:t>）。提出城乡建设用地集约利用的目标和措施。优先保障住房和各类重要公共服务设施用地，以及涉及军事、外事、殡葬等特殊用地。</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w:t>
      </w:r>
      <w:r>
        <w:rPr>
          <w:rFonts w:ascii="Times New Roman" w:eastAsia="仿宋_GB2312"/>
          <w:color w:val="000000" w:themeColor="text1"/>
          <w:sz w:val="32"/>
          <w:szCs w:val="32"/>
        </w:rPr>
        <w:t>3</w:t>
      </w:r>
      <w:r>
        <w:rPr>
          <w:rFonts w:ascii="Times New Roman" w:eastAsia="仿宋_GB2312" w:hint="eastAsia"/>
          <w:color w:val="000000" w:themeColor="text1"/>
          <w:sz w:val="32"/>
          <w:szCs w:val="32"/>
        </w:rPr>
        <w:t>）确定中心城区各类建设用地总量和结构，制定中心城区城镇建设用地结构规划表（见附录表</w:t>
      </w:r>
      <w:r>
        <w:rPr>
          <w:rFonts w:ascii="Times New Roman" w:eastAsia="仿宋_GB2312"/>
          <w:color w:val="000000" w:themeColor="text1"/>
          <w:sz w:val="32"/>
          <w:szCs w:val="32"/>
        </w:rPr>
        <w:t>D.3</w:t>
      </w:r>
      <w:r>
        <w:rPr>
          <w:rFonts w:ascii="Times New Roman" w:eastAsia="仿宋_GB2312" w:hint="eastAsia"/>
          <w:color w:val="000000" w:themeColor="text1"/>
          <w:sz w:val="32"/>
          <w:szCs w:val="32"/>
        </w:rPr>
        <w:t>）。提出不同规划分区的用地结构优化导向，鼓励土地混合使用。</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w:t>
      </w:r>
      <w:r>
        <w:rPr>
          <w:rFonts w:ascii="Times New Roman" w:eastAsia="仿宋_GB2312"/>
          <w:color w:val="000000" w:themeColor="text1"/>
          <w:sz w:val="32"/>
          <w:szCs w:val="32"/>
        </w:rPr>
        <w:t>4</w:t>
      </w:r>
      <w:r>
        <w:rPr>
          <w:rFonts w:ascii="Times New Roman" w:eastAsia="仿宋_GB2312" w:hint="eastAsia"/>
          <w:color w:val="000000" w:themeColor="text1"/>
          <w:sz w:val="32"/>
          <w:szCs w:val="32"/>
        </w:rPr>
        <w:t>）优化建设用地结构和布局，推动人、城、产、交通一体化发展，促进产业园区与城市服务功能的融合，保障发展实体经济的产业空间，在确保环境安全的基础上引导发展功能复合的产业社区，促进产城融合、职住平衡。</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w:t>
      </w:r>
      <w:r>
        <w:rPr>
          <w:rFonts w:ascii="Times New Roman" w:eastAsia="仿宋_GB2312"/>
          <w:color w:val="000000" w:themeColor="text1"/>
          <w:sz w:val="32"/>
          <w:szCs w:val="32"/>
        </w:rPr>
        <w:t>5</w:t>
      </w:r>
      <w:r>
        <w:rPr>
          <w:rFonts w:ascii="Times New Roman" w:eastAsia="仿宋_GB2312" w:hint="eastAsia"/>
          <w:color w:val="000000" w:themeColor="text1"/>
          <w:sz w:val="32"/>
          <w:szCs w:val="32"/>
        </w:rPr>
        <w:t>）提高空间连通性和交通可达性，明确综合交通系统发展目标，促进城市高效、安全、低能耗运行，优化综合交通网络，完善物流运输系统布局，促进新业态发展，增强区域、市域、城乡之间的交通服务能力。</w:t>
      </w:r>
    </w:p>
    <w:p w:rsidR="007B4818" w:rsidRDefault="00D73177">
      <w:pPr>
        <w:ind w:firstLineChars="200" w:firstLine="640"/>
        <w:rPr>
          <w:rFonts w:ascii="Times New Roman" w:eastAsia="仿宋_GB2312" w:hAnsi="Times New Roman"/>
          <w:color w:val="000000" w:themeColor="text1"/>
          <w:sz w:val="32"/>
          <w:szCs w:val="28"/>
        </w:rPr>
      </w:pPr>
      <w:r>
        <w:rPr>
          <w:rFonts w:ascii="Times New Roman" w:eastAsia="仿宋_GB2312" w:hint="eastAsia"/>
          <w:color w:val="000000" w:themeColor="text1"/>
          <w:sz w:val="32"/>
          <w:szCs w:val="32"/>
        </w:rPr>
        <w:t>（</w:t>
      </w:r>
      <w:r>
        <w:rPr>
          <w:rFonts w:ascii="Times New Roman" w:eastAsia="仿宋_GB2312"/>
          <w:color w:val="000000" w:themeColor="text1"/>
          <w:sz w:val="32"/>
          <w:szCs w:val="32"/>
        </w:rPr>
        <w:t>6</w:t>
      </w:r>
      <w:r>
        <w:rPr>
          <w:rFonts w:ascii="Times New Roman" w:eastAsia="仿宋_GB2312" w:hint="eastAsia"/>
          <w:color w:val="000000" w:themeColor="text1"/>
          <w:sz w:val="32"/>
          <w:szCs w:val="32"/>
        </w:rPr>
        <w:t>）坚持公交引导城市发展，提出与城市功能布局相融合的公共交通体系与设施布局。优化公交枢纽和场站（含轨道交通）布局与集约用地要求，提高站点覆盖率，鼓励站点周边地区土地混合使用，引导形成综合服务节点，服务于人的需求。</w:t>
      </w:r>
    </w:p>
    <w:p w:rsidR="007B4818" w:rsidRDefault="00D73177">
      <w:pPr>
        <w:pStyle w:val="2"/>
        <w:ind w:left="0" w:firstLine="0"/>
        <w:jc w:val="both"/>
        <w:rPr>
          <w:b/>
          <w:bCs w:val="0"/>
          <w:color w:val="000000" w:themeColor="text1"/>
          <w:szCs w:val="32"/>
        </w:rPr>
      </w:pPr>
      <w:bookmarkStart w:id="161" w:name="_Toc44611539"/>
      <w:bookmarkStart w:id="162" w:name="_Toc44611492"/>
      <w:bookmarkStart w:id="163" w:name="_Toc44611585"/>
      <w:bookmarkStart w:id="164" w:name="_Toc17021"/>
      <w:bookmarkStart w:id="165" w:name="_Toc7471"/>
      <w:bookmarkStart w:id="166" w:name="_Toc14734"/>
      <w:bookmarkStart w:id="167" w:name="_Toc23358"/>
      <w:bookmarkStart w:id="168" w:name="_Toc44611586"/>
      <w:bookmarkStart w:id="169" w:name="_Toc25834"/>
      <w:bookmarkEnd w:id="161"/>
      <w:bookmarkEnd w:id="162"/>
      <w:bookmarkEnd w:id="163"/>
      <w:r>
        <w:rPr>
          <w:rFonts w:hint="eastAsia"/>
          <w:b/>
          <w:bCs w:val="0"/>
          <w:color w:val="000000" w:themeColor="text1"/>
          <w:szCs w:val="32"/>
        </w:rPr>
        <w:t>完善公共空间和公共服务功能，营造健康、舒适、便利的人居环境</w:t>
      </w:r>
      <w:bookmarkEnd w:id="164"/>
      <w:bookmarkEnd w:id="165"/>
      <w:bookmarkEnd w:id="166"/>
      <w:bookmarkEnd w:id="167"/>
      <w:bookmarkEnd w:id="168"/>
      <w:bookmarkEnd w:id="169"/>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结合不同尺度的城乡生活圈，优化居住和公共服务设施用地布局，完善开敞空间和慢行网络，提高人居环境品质。</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w:t>
      </w:r>
      <w:r>
        <w:rPr>
          <w:rFonts w:ascii="Times New Roman" w:eastAsia="仿宋_GB2312"/>
          <w:color w:val="000000" w:themeColor="text1"/>
          <w:sz w:val="32"/>
          <w:szCs w:val="32"/>
        </w:rPr>
        <w:t>1</w:t>
      </w:r>
      <w:r>
        <w:rPr>
          <w:rFonts w:ascii="Times New Roman" w:eastAsia="仿宋_GB2312" w:hint="eastAsia"/>
          <w:color w:val="000000" w:themeColor="text1"/>
          <w:sz w:val="32"/>
          <w:szCs w:val="32"/>
        </w:rPr>
        <w:t>）</w:t>
      </w:r>
      <w:r>
        <w:rPr>
          <w:rFonts w:ascii="Times New Roman" w:eastAsia="仿宋_GB2312"/>
          <w:color w:val="000000" w:themeColor="text1"/>
          <w:sz w:val="32"/>
          <w:szCs w:val="32"/>
        </w:rPr>
        <w:t>基于</w:t>
      </w:r>
      <w:r>
        <w:rPr>
          <w:rFonts w:ascii="Times New Roman" w:eastAsia="仿宋_GB2312" w:hint="eastAsia"/>
          <w:color w:val="000000" w:themeColor="text1"/>
          <w:sz w:val="32"/>
          <w:szCs w:val="32"/>
        </w:rPr>
        <w:t>常住人口的总量和结构，提出分区分级公共服务中心体系布局和标准，针对实际服务管理人口特征和需求，完善服务功能，改善服务的便利性。确定中心城区公共服务设施用地总量和结构比例。</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w:t>
      </w:r>
      <w:r>
        <w:rPr>
          <w:rFonts w:ascii="Times New Roman" w:eastAsia="仿宋_GB2312" w:hint="eastAsia"/>
          <w:color w:val="000000" w:themeColor="text1"/>
          <w:sz w:val="32"/>
          <w:szCs w:val="32"/>
        </w:rPr>
        <w:t>2</w:t>
      </w:r>
      <w:r>
        <w:rPr>
          <w:rFonts w:ascii="Times New Roman" w:eastAsia="仿宋_GB2312" w:hint="eastAsia"/>
          <w:color w:val="000000" w:themeColor="text1"/>
          <w:sz w:val="32"/>
          <w:szCs w:val="32"/>
        </w:rPr>
        <w:t>）优化居住用地结构和布局，改善职住关系，引导政策性住房优先布局在交通和就业便利地区，避免形成单一功能的大型居住区。确定中心城区人均居住用地面积。严控高层高密度住宅。</w:t>
      </w:r>
    </w:p>
    <w:p w:rsidR="007B4818" w:rsidRDefault="00D73177">
      <w:pPr>
        <w:pStyle w:val="af2"/>
        <w:ind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w:t>
      </w:r>
      <w:r>
        <w:rPr>
          <w:rFonts w:ascii="Times New Roman" w:eastAsia="仿宋_GB2312" w:hint="eastAsia"/>
          <w:color w:val="000000" w:themeColor="text1"/>
          <w:sz w:val="32"/>
          <w:szCs w:val="32"/>
        </w:rPr>
        <w:t>3</w:t>
      </w:r>
      <w:r>
        <w:rPr>
          <w:rFonts w:ascii="Times New Roman" w:eastAsia="仿宋_GB2312" w:hint="eastAsia"/>
          <w:color w:val="000000" w:themeColor="text1"/>
          <w:sz w:val="32"/>
          <w:szCs w:val="32"/>
        </w:rPr>
        <w:t>）完善社区生活圈，针对人口老龄化、少子化趋势和社区功能复合化需求，重点提出医疗、</w:t>
      </w:r>
      <w:r>
        <w:rPr>
          <w:rFonts w:ascii="Times New Roman" w:eastAsia="仿宋_GB2312"/>
          <w:color w:val="000000" w:themeColor="text1"/>
          <w:sz w:val="32"/>
          <w:szCs w:val="32"/>
        </w:rPr>
        <w:t>康</w:t>
      </w:r>
      <w:r>
        <w:rPr>
          <w:rFonts w:ascii="Times New Roman" w:eastAsia="仿宋_GB2312" w:hint="eastAsia"/>
          <w:color w:val="000000" w:themeColor="text1"/>
          <w:sz w:val="32"/>
          <w:szCs w:val="32"/>
        </w:rPr>
        <w:t>养、教育、文体、社区商业等服务设施和公共开敞空间的配置标准和布局要求，建设全年龄友好健康城市，以社区生活圈为单元补齐公共服务短板。</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w:t>
      </w:r>
      <w:r>
        <w:rPr>
          <w:rFonts w:ascii="Times New Roman" w:eastAsia="仿宋_GB2312"/>
          <w:color w:val="000000" w:themeColor="text1"/>
          <w:sz w:val="32"/>
          <w:szCs w:val="32"/>
        </w:rPr>
        <w:t>4</w:t>
      </w:r>
      <w:r>
        <w:rPr>
          <w:rFonts w:ascii="Times New Roman" w:eastAsia="仿宋_GB2312" w:hint="eastAsia"/>
          <w:color w:val="000000" w:themeColor="text1"/>
          <w:sz w:val="32"/>
          <w:szCs w:val="32"/>
        </w:rPr>
        <w:t>）按照“小街区、密路网”的理念，优化中心城区城市道路网结构和布局，提高中心城区道路网密度。</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w:t>
      </w:r>
      <w:r>
        <w:rPr>
          <w:rFonts w:ascii="Times New Roman" w:eastAsia="仿宋_GB2312"/>
          <w:color w:val="000000" w:themeColor="text1"/>
          <w:sz w:val="32"/>
          <w:szCs w:val="32"/>
        </w:rPr>
        <w:t>5</w:t>
      </w:r>
      <w:r>
        <w:rPr>
          <w:rFonts w:ascii="Times New Roman" w:eastAsia="仿宋_GB2312" w:hint="eastAsia"/>
          <w:color w:val="000000" w:themeColor="text1"/>
          <w:sz w:val="32"/>
          <w:szCs w:val="32"/>
        </w:rPr>
        <w:t>）构建系统安全的慢行系统，结合街道和蓝绿网络，构建连通城市和城郊的绿道系统，提出城市中心城区覆盖地上地下、室内户外的慢行系统规划要求，建设步行友好城市。</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w:t>
      </w:r>
      <w:r>
        <w:rPr>
          <w:rFonts w:ascii="Times New Roman" w:eastAsia="仿宋_GB2312"/>
          <w:color w:val="000000" w:themeColor="text1"/>
          <w:sz w:val="32"/>
          <w:szCs w:val="32"/>
        </w:rPr>
        <w:t>6</w:t>
      </w:r>
      <w:r>
        <w:rPr>
          <w:rFonts w:ascii="Times New Roman" w:eastAsia="仿宋_GB2312" w:hint="eastAsia"/>
          <w:color w:val="000000" w:themeColor="text1"/>
          <w:sz w:val="32"/>
          <w:szCs w:val="32"/>
        </w:rPr>
        <w:t>）结合市域生态网络，完善蓝绿开敞空间系统，为市民创造更多接触大自然的机会。确定结构性绿地、城乡</w:t>
      </w:r>
      <w:r>
        <w:rPr>
          <w:rFonts w:ascii="Times New Roman" w:eastAsia="仿宋_GB2312"/>
          <w:color w:val="000000" w:themeColor="text1"/>
          <w:sz w:val="32"/>
          <w:szCs w:val="32"/>
        </w:rPr>
        <w:t>绿道、</w:t>
      </w:r>
      <w:r>
        <w:rPr>
          <w:rFonts w:ascii="Times New Roman" w:eastAsia="仿宋_GB2312" w:hint="eastAsia"/>
          <w:color w:val="000000" w:themeColor="text1"/>
          <w:sz w:val="32"/>
          <w:szCs w:val="32"/>
        </w:rPr>
        <w:t>市级公园等重要绿地以及重要水体的控制范围，划定中心城区的绿线、蓝线，并提出控制要求。</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Ansi="Times New Roman" w:hint="eastAsia"/>
          <w:color w:val="000000" w:themeColor="text1"/>
          <w:sz w:val="32"/>
          <w:szCs w:val="28"/>
        </w:rPr>
        <w:t>（</w:t>
      </w:r>
      <w:r>
        <w:rPr>
          <w:rFonts w:ascii="Times New Roman" w:eastAsia="仿宋_GB2312" w:hAnsi="Times New Roman" w:hint="eastAsia"/>
          <w:color w:val="000000" w:themeColor="text1"/>
          <w:sz w:val="32"/>
          <w:szCs w:val="28"/>
        </w:rPr>
        <w:t>7</w:t>
      </w:r>
      <w:r>
        <w:rPr>
          <w:rFonts w:ascii="Times New Roman" w:eastAsia="仿宋_GB2312" w:hAnsi="Times New Roman" w:hint="eastAsia"/>
          <w:color w:val="000000" w:themeColor="text1"/>
          <w:sz w:val="32"/>
          <w:szCs w:val="28"/>
        </w:rPr>
        <w:t>）在中心城区提出通风廊道、隔离绿地和绿道系统等布局和控制要求。确定中心城区绿地与开敞空间的总量、人均用地面积和覆盖率指标，并着重提出包括社区公园、口袋公园在内的各类绿地均衡布局的规划要求。</w:t>
      </w:r>
    </w:p>
    <w:p w:rsidR="007B4818" w:rsidRDefault="00D73177">
      <w:pPr>
        <w:pStyle w:val="2"/>
        <w:ind w:left="0" w:firstLine="0"/>
        <w:jc w:val="both"/>
        <w:rPr>
          <w:b/>
          <w:bCs w:val="0"/>
          <w:color w:val="000000" w:themeColor="text1"/>
          <w:szCs w:val="32"/>
        </w:rPr>
      </w:pPr>
      <w:bookmarkStart w:id="170" w:name="_Toc5427"/>
      <w:bookmarkStart w:id="171" w:name="_Toc28986"/>
      <w:bookmarkStart w:id="172" w:name="_Toc44611587"/>
      <w:bookmarkStart w:id="173" w:name="_Toc88"/>
      <w:bookmarkStart w:id="174" w:name="_Toc9610"/>
      <w:bookmarkStart w:id="175" w:name="_Toc17718"/>
      <w:r>
        <w:rPr>
          <w:rFonts w:hint="eastAsia"/>
          <w:b/>
          <w:bCs w:val="0"/>
          <w:color w:val="000000" w:themeColor="text1"/>
          <w:szCs w:val="32"/>
        </w:rPr>
        <w:t>保护自然与</w:t>
      </w:r>
      <w:r>
        <w:rPr>
          <w:b/>
          <w:bCs w:val="0"/>
          <w:color w:val="000000" w:themeColor="text1"/>
          <w:szCs w:val="32"/>
        </w:rPr>
        <w:t>历史文化</w:t>
      </w:r>
      <w:r>
        <w:rPr>
          <w:rFonts w:hint="eastAsia"/>
          <w:b/>
          <w:bCs w:val="0"/>
          <w:color w:val="000000" w:themeColor="text1"/>
          <w:szCs w:val="32"/>
        </w:rPr>
        <w:t>，塑造具有地域特色</w:t>
      </w:r>
      <w:r>
        <w:rPr>
          <w:b/>
          <w:bCs w:val="0"/>
          <w:color w:val="000000" w:themeColor="text1"/>
          <w:szCs w:val="32"/>
        </w:rPr>
        <w:t>的城</w:t>
      </w:r>
      <w:r>
        <w:rPr>
          <w:rFonts w:hint="eastAsia"/>
          <w:b/>
          <w:bCs w:val="0"/>
          <w:color w:val="000000" w:themeColor="text1"/>
          <w:szCs w:val="32"/>
        </w:rPr>
        <w:t>乡</w:t>
      </w:r>
      <w:r>
        <w:rPr>
          <w:b/>
          <w:bCs w:val="0"/>
          <w:color w:val="000000" w:themeColor="text1"/>
          <w:szCs w:val="32"/>
        </w:rPr>
        <w:t>风貌</w:t>
      </w:r>
      <w:bookmarkEnd w:id="170"/>
      <w:bookmarkEnd w:id="171"/>
      <w:bookmarkEnd w:id="172"/>
      <w:bookmarkEnd w:id="173"/>
      <w:bookmarkEnd w:id="174"/>
      <w:bookmarkEnd w:id="175"/>
    </w:p>
    <w:p w:rsidR="007B4818" w:rsidRDefault="00D73177">
      <w:pPr>
        <w:ind w:firstLineChars="200" w:firstLine="640"/>
        <w:rPr>
          <w:rFonts w:ascii="Times New Roman" w:eastAsia="仿宋_GB2312" w:hAnsi="Times New Roman"/>
          <w:color w:val="000000" w:themeColor="text1"/>
          <w:sz w:val="32"/>
          <w:szCs w:val="28"/>
        </w:rPr>
      </w:pPr>
      <w:r>
        <w:rPr>
          <w:rFonts w:ascii="Times New Roman" w:eastAsia="仿宋_GB2312" w:hint="eastAsia"/>
          <w:color w:val="000000" w:themeColor="text1"/>
          <w:sz w:val="32"/>
          <w:szCs w:val="32"/>
        </w:rPr>
        <w:t>加强自然和历史文化资源的保护，运用城市设计方法，优化空间形态，突显本地特色优势。</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w:t>
      </w:r>
      <w:r>
        <w:rPr>
          <w:rFonts w:ascii="Times New Roman" w:eastAsia="仿宋_GB2312"/>
          <w:color w:val="000000" w:themeColor="text1"/>
          <w:sz w:val="32"/>
          <w:szCs w:val="32"/>
        </w:rPr>
        <w:t>1</w:t>
      </w:r>
      <w:r>
        <w:rPr>
          <w:rFonts w:ascii="Times New Roman" w:eastAsia="仿宋_GB2312" w:hint="eastAsia"/>
          <w:color w:val="000000" w:themeColor="text1"/>
          <w:sz w:val="32"/>
          <w:szCs w:val="32"/>
        </w:rPr>
        <w:t>）挖掘本地历史文化资源，梳理市域历史文化遗产保护名录，明确和整合各级文物保护单位、历史文化名城名镇名村、历史城区、历史文化街区、传统村落、历史建筑等历史文化遗存的保护范围，统筹划定包括城市紫线在内的各类历史文化保护线。保护历史性城市景观和文化景观，针对历史文化和自然景观资源富集、空间分布集中的地域和廊道，明确整体保护和促进活化利用的空间要求。</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w:t>
      </w:r>
      <w:r>
        <w:rPr>
          <w:rFonts w:ascii="Times New Roman" w:eastAsia="仿宋_GB2312" w:hint="eastAsia"/>
          <w:color w:val="000000" w:themeColor="text1"/>
          <w:sz w:val="32"/>
          <w:szCs w:val="32"/>
        </w:rPr>
        <w:t>2</w:t>
      </w:r>
      <w:r>
        <w:rPr>
          <w:rFonts w:ascii="Times New Roman" w:eastAsia="仿宋_GB2312" w:hint="eastAsia"/>
          <w:color w:val="000000" w:themeColor="text1"/>
          <w:sz w:val="32"/>
          <w:szCs w:val="32"/>
        </w:rPr>
        <w:t>）提出全域山水人文格局的空间形态引导和管控原则，对滨水地区（河口、海岸）、山麓地区等城市特色景观地区提出有针对性的管控要求。</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w:t>
      </w:r>
      <w:r>
        <w:rPr>
          <w:rFonts w:ascii="Times New Roman" w:eastAsia="仿宋_GB2312" w:hint="eastAsia"/>
          <w:color w:val="000000" w:themeColor="text1"/>
          <w:sz w:val="32"/>
          <w:szCs w:val="32"/>
        </w:rPr>
        <w:t>3</w:t>
      </w:r>
      <w:r>
        <w:rPr>
          <w:rFonts w:ascii="Times New Roman" w:eastAsia="仿宋_GB2312" w:hint="eastAsia"/>
          <w:color w:val="000000" w:themeColor="text1"/>
          <w:sz w:val="32"/>
          <w:szCs w:val="32"/>
        </w:rPr>
        <w:t>）明确空间形态重点管控地区，提出开发强度分区和容积率、密度等控制指标，以及高度、风貌、天际线等空间形态控制要求。明确有景观价值的制高点、山水轴线、视线通廊等，严格控制新建超高层建筑。</w:t>
      </w:r>
    </w:p>
    <w:p w:rsidR="007B4818" w:rsidRDefault="00D73177">
      <w:pPr>
        <w:ind w:firstLineChars="200" w:firstLine="640"/>
        <w:rPr>
          <w:color w:val="000000" w:themeColor="text1"/>
        </w:rPr>
      </w:pPr>
      <w:r>
        <w:rPr>
          <w:rFonts w:ascii="Times New Roman" w:eastAsia="仿宋_GB2312" w:hint="eastAsia"/>
          <w:color w:val="000000" w:themeColor="text1"/>
          <w:sz w:val="32"/>
          <w:szCs w:val="32"/>
        </w:rPr>
        <w:t>（</w:t>
      </w:r>
      <w:r>
        <w:rPr>
          <w:rFonts w:ascii="Times New Roman" w:eastAsia="仿宋_GB2312" w:hint="eastAsia"/>
          <w:color w:val="000000" w:themeColor="text1"/>
          <w:sz w:val="32"/>
          <w:szCs w:val="32"/>
        </w:rPr>
        <w:t>4</w:t>
      </w:r>
      <w:r>
        <w:rPr>
          <w:rFonts w:ascii="Times New Roman" w:eastAsia="仿宋_GB2312" w:hint="eastAsia"/>
          <w:color w:val="000000" w:themeColor="text1"/>
          <w:sz w:val="32"/>
          <w:szCs w:val="32"/>
        </w:rPr>
        <w:t>）对乡村地区分类分区提出特色保护、风貌塑造和高度控制等空间形态管控要求，发挥田野的生态、景观和空间间隔作用，营造体现地域特色的田园风光。</w:t>
      </w:r>
    </w:p>
    <w:p w:rsidR="007B4818" w:rsidRDefault="00D73177">
      <w:pPr>
        <w:pStyle w:val="2"/>
        <w:ind w:left="0" w:firstLine="0"/>
        <w:jc w:val="both"/>
        <w:rPr>
          <w:b/>
          <w:bCs w:val="0"/>
          <w:color w:val="000000" w:themeColor="text1"/>
          <w:szCs w:val="32"/>
        </w:rPr>
      </w:pPr>
      <w:bookmarkStart w:id="176" w:name="_Toc1770"/>
      <w:bookmarkStart w:id="177" w:name="_Toc44611588"/>
      <w:bookmarkStart w:id="178" w:name="_Toc26172"/>
      <w:bookmarkStart w:id="179" w:name="_Toc28392"/>
      <w:bookmarkStart w:id="180" w:name="_Toc8077"/>
      <w:bookmarkStart w:id="181" w:name="_Toc22694"/>
      <w:r>
        <w:rPr>
          <w:b/>
          <w:bCs w:val="0"/>
          <w:color w:val="000000" w:themeColor="text1"/>
          <w:szCs w:val="32"/>
        </w:rPr>
        <w:t>完善</w:t>
      </w:r>
      <w:r>
        <w:rPr>
          <w:rFonts w:hint="eastAsia"/>
          <w:b/>
          <w:bCs w:val="0"/>
          <w:color w:val="000000" w:themeColor="text1"/>
          <w:szCs w:val="32"/>
        </w:rPr>
        <w:t>基础设施体系，增强城市安全</w:t>
      </w:r>
      <w:r>
        <w:rPr>
          <w:b/>
          <w:bCs w:val="0"/>
          <w:color w:val="000000" w:themeColor="text1"/>
          <w:szCs w:val="32"/>
        </w:rPr>
        <w:t>韧性</w:t>
      </w:r>
      <w:bookmarkEnd w:id="176"/>
      <w:bookmarkEnd w:id="177"/>
      <w:bookmarkEnd w:id="178"/>
      <w:bookmarkEnd w:id="179"/>
      <w:bookmarkEnd w:id="180"/>
      <w:bookmarkEnd w:id="181"/>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统筹存量和增量、地上和地下、传统和新型基础设施系统布局，构建集约高效、智能绿色、安全可靠的现代化基础设施体系，提高城市综合承载能力，建设韧性城市。</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w:t>
      </w:r>
      <w:r>
        <w:rPr>
          <w:rFonts w:ascii="Times New Roman" w:eastAsia="仿宋_GB2312"/>
          <w:color w:val="000000" w:themeColor="text1"/>
          <w:sz w:val="32"/>
          <w:szCs w:val="32"/>
        </w:rPr>
        <w:t>1</w:t>
      </w:r>
      <w:r>
        <w:rPr>
          <w:rFonts w:ascii="Times New Roman" w:eastAsia="仿宋_GB2312" w:hint="eastAsia"/>
          <w:color w:val="000000" w:themeColor="text1"/>
          <w:sz w:val="32"/>
          <w:szCs w:val="32"/>
        </w:rPr>
        <w:t>）以协同融合、安全韧性为导向，结合空间格局优化和智慧城市建设，优化形成各类基础设施一体化、网络化、复合化、绿色化、智能化布局。提出市域重要交通廊道和高压输电干线、天然气高压干线等能源通道空间布局，以及市域重大水利工程布局安排。提出中心城区交通、能源、水系统、信息、物流、固体废弃物处理等基础设施的规模和网络化布局要求，明确廊道控制要求，鼓励新建城区提出综合管廊布局方案。</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w:t>
      </w:r>
      <w:r>
        <w:rPr>
          <w:rFonts w:ascii="Times New Roman" w:eastAsia="仿宋_GB2312" w:hint="eastAsia"/>
          <w:color w:val="000000" w:themeColor="text1"/>
          <w:sz w:val="32"/>
          <w:szCs w:val="32"/>
        </w:rPr>
        <w:t>2</w:t>
      </w:r>
      <w:r>
        <w:rPr>
          <w:rFonts w:ascii="Times New Roman" w:eastAsia="仿宋_GB2312" w:hint="eastAsia"/>
          <w:color w:val="000000" w:themeColor="text1"/>
          <w:sz w:val="32"/>
          <w:szCs w:val="32"/>
        </w:rPr>
        <w:t>）基于灾害风险评估，确定主要灾害类型的防灾减灾目标和设防标准，</w:t>
      </w:r>
      <w:r>
        <w:rPr>
          <w:rFonts w:ascii="Times New Roman" w:eastAsia="仿宋_GB2312"/>
          <w:color w:val="000000" w:themeColor="text1"/>
          <w:sz w:val="32"/>
          <w:szCs w:val="32"/>
        </w:rPr>
        <w:t>划示</w:t>
      </w:r>
      <w:r>
        <w:rPr>
          <w:rFonts w:ascii="Times New Roman" w:eastAsia="仿宋_GB2312" w:hint="eastAsia"/>
          <w:color w:val="000000" w:themeColor="text1"/>
          <w:sz w:val="32"/>
          <w:szCs w:val="32"/>
        </w:rPr>
        <w:t>灾害风险区。明确防洪（潮）、抗震、消防、人防、防疫等各类重大防灾设施标准、布局要求与防灾减灾措施，适度提高生命线工程的冗余度。针对气候变化影响，结合城市自然地理特征，优化防洪排涝通道和蓄滞洪区，划定洪涝风险控制线，修复自然生态系统，因地制宜推进海绵城市建设，增加城镇建设用地中的渗透性表面。沿海城市应强化因气候变化造成海平面上升的灾害应对措施。</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w:t>
      </w:r>
      <w:r>
        <w:rPr>
          <w:rFonts w:ascii="Times New Roman" w:eastAsia="仿宋_GB2312" w:hint="eastAsia"/>
          <w:color w:val="000000" w:themeColor="text1"/>
          <w:sz w:val="32"/>
          <w:szCs w:val="32"/>
        </w:rPr>
        <w:t>3</w:t>
      </w:r>
      <w:r>
        <w:rPr>
          <w:rFonts w:ascii="Times New Roman" w:eastAsia="仿宋_GB2312" w:hint="eastAsia"/>
          <w:color w:val="000000" w:themeColor="text1"/>
          <w:sz w:val="32"/>
          <w:szCs w:val="32"/>
        </w:rPr>
        <w:t>）以社区生活圈为基础构建城市健康安全单元，完善应急空间网络。结合公园、绿地、广场等开敞空间和体育场馆等公共设施，提出网络化、分布式的应急避难场所、疏散通道的布局要求。</w:t>
      </w:r>
    </w:p>
    <w:p w:rsidR="007B4818" w:rsidRDefault="00D73177">
      <w:pPr>
        <w:ind w:firstLineChars="200" w:firstLine="640"/>
        <w:rPr>
          <w:rFonts w:ascii="仿宋_GB2312" w:eastAsia="仿宋_GB2312" w:hAnsi="仿宋_GB2312" w:cs="仿宋_GB2312"/>
          <w:color w:val="000000" w:themeColor="text1"/>
          <w:sz w:val="32"/>
          <w:szCs w:val="32"/>
        </w:rPr>
      </w:pPr>
      <w:r>
        <w:rPr>
          <w:rFonts w:ascii="Times New Roman" w:eastAsia="仿宋_GB2312" w:hint="eastAsia"/>
          <w:color w:val="000000" w:themeColor="text1"/>
          <w:sz w:val="32"/>
          <w:szCs w:val="32"/>
        </w:rPr>
        <w:t>（</w:t>
      </w:r>
      <w:r>
        <w:rPr>
          <w:rFonts w:ascii="Times New Roman" w:eastAsia="仿宋_GB2312" w:hint="eastAsia"/>
          <w:color w:val="000000" w:themeColor="text1"/>
          <w:sz w:val="32"/>
          <w:szCs w:val="32"/>
        </w:rPr>
        <w:t>4</w:t>
      </w:r>
      <w:r>
        <w:rPr>
          <w:rFonts w:ascii="Times New Roman" w:eastAsia="仿宋_GB2312" w:hint="eastAsia"/>
          <w:color w:val="000000" w:themeColor="text1"/>
          <w:sz w:val="32"/>
          <w:szCs w:val="32"/>
        </w:rPr>
        <w:t>）预留一定应急用地和大型危险品存储用地，科学划定</w:t>
      </w:r>
      <w:r>
        <w:rPr>
          <w:rFonts w:ascii="仿宋_GB2312" w:eastAsia="仿宋_GB2312" w:hAnsi="仿宋_GB2312" w:cs="仿宋_GB2312" w:hint="eastAsia"/>
          <w:color w:val="000000" w:themeColor="text1"/>
          <w:sz w:val="32"/>
          <w:szCs w:val="32"/>
        </w:rPr>
        <w:t>安全防护和缓冲空间。</w:t>
      </w:r>
    </w:p>
    <w:p w:rsidR="007B4818" w:rsidRDefault="00D73177">
      <w:pPr>
        <w:ind w:firstLineChars="200" w:firstLine="640"/>
        <w:rPr>
          <w:color w:val="000000" w:themeColor="text1"/>
        </w:rPr>
      </w:pPr>
      <w:r>
        <w:rPr>
          <w:rFonts w:ascii="Times New Roman" w:eastAsia="仿宋_GB2312" w:hint="eastAsia"/>
          <w:color w:val="000000" w:themeColor="text1"/>
          <w:sz w:val="32"/>
          <w:szCs w:val="32"/>
        </w:rPr>
        <w:t>（</w:t>
      </w:r>
      <w:r>
        <w:rPr>
          <w:rFonts w:ascii="Times New Roman" w:eastAsia="仿宋_GB2312" w:hint="eastAsia"/>
          <w:color w:val="000000" w:themeColor="text1"/>
          <w:sz w:val="32"/>
          <w:szCs w:val="32"/>
        </w:rPr>
        <w:t>5</w:t>
      </w:r>
      <w:r>
        <w:rPr>
          <w:rFonts w:ascii="Times New Roman" w:eastAsia="仿宋_GB2312" w:hint="eastAsia"/>
          <w:color w:val="000000" w:themeColor="text1"/>
          <w:sz w:val="32"/>
          <w:szCs w:val="32"/>
        </w:rPr>
        <w:t>）</w:t>
      </w:r>
      <w:r>
        <w:rPr>
          <w:rFonts w:ascii="Times New Roman" w:eastAsia="仿宋_GB2312"/>
          <w:color w:val="000000" w:themeColor="text1"/>
          <w:sz w:val="32"/>
          <w:szCs w:val="32"/>
        </w:rPr>
        <w:t>确定重要交通</w:t>
      </w:r>
      <w:r>
        <w:rPr>
          <w:rFonts w:ascii="Times New Roman" w:eastAsia="仿宋_GB2312" w:hint="eastAsia"/>
          <w:color w:val="000000" w:themeColor="text1"/>
          <w:sz w:val="32"/>
          <w:szCs w:val="32"/>
        </w:rPr>
        <w:t>、能源、市政、防灾等</w:t>
      </w:r>
      <w:r>
        <w:rPr>
          <w:rFonts w:ascii="Times New Roman" w:eastAsia="仿宋_GB2312"/>
          <w:color w:val="000000" w:themeColor="text1"/>
          <w:sz w:val="32"/>
          <w:szCs w:val="32"/>
        </w:rPr>
        <w:t>基础设施</w:t>
      </w:r>
      <w:r>
        <w:rPr>
          <w:rFonts w:ascii="Times New Roman" w:eastAsia="仿宋_GB2312" w:hint="eastAsia"/>
          <w:color w:val="000000" w:themeColor="text1"/>
          <w:sz w:val="32"/>
          <w:szCs w:val="32"/>
        </w:rPr>
        <w:t>用地</w:t>
      </w:r>
      <w:r>
        <w:rPr>
          <w:rFonts w:ascii="Times New Roman" w:eastAsia="仿宋_GB2312"/>
          <w:color w:val="000000" w:themeColor="text1"/>
          <w:sz w:val="32"/>
          <w:szCs w:val="32"/>
        </w:rPr>
        <w:t>控制范围</w:t>
      </w:r>
      <w:r>
        <w:rPr>
          <w:rFonts w:ascii="Times New Roman" w:eastAsia="仿宋_GB2312" w:hint="eastAsia"/>
          <w:color w:val="000000" w:themeColor="text1"/>
          <w:sz w:val="32"/>
          <w:szCs w:val="32"/>
        </w:rPr>
        <w:t>，</w:t>
      </w:r>
      <w:r>
        <w:rPr>
          <w:rFonts w:ascii="Times New Roman" w:eastAsia="仿宋_GB2312"/>
          <w:color w:val="000000" w:themeColor="text1"/>
          <w:sz w:val="32"/>
          <w:szCs w:val="32"/>
        </w:rPr>
        <w:t>划定中心城区重要基础设施的</w:t>
      </w:r>
      <w:r>
        <w:rPr>
          <w:rFonts w:ascii="Times New Roman" w:eastAsia="仿宋_GB2312" w:hint="eastAsia"/>
          <w:color w:val="000000" w:themeColor="text1"/>
          <w:sz w:val="32"/>
          <w:szCs w:val="32"/>
        </w:rPr>
        <w:t>黄线，与生态保护红线、永久基本农田等控制线相协调。在提出控制要求的同时保留一定弹性，为新型基础设施建设预留发展空间。</w:t>
      </w:r>
    </w:p>
    <w:p w:rsidR="007B4818" w:rsidRDefault="00D73177">
      <w:pPr>
        <w:pStyle w:val="2"/>
        <w:ind w:left="0" w:firstLine="0"/>
        <w:jc w:val="both"/>
        <w:rPr>
          <w:b/>
          <w:bCs w:val="0"/>
          <w:color w:val="000000" w:themeColor="text1"/>
          <w:szCs w:val="32"/>
        </w:rPr>
      </w:pPr>
      <w:bookmarkStart w:id="182" w:name="_Toc25962"/>
      <w:bookmarkStart w:id="183" w:name="_Toc7846"/>
      <w:bookmarkStart w:id="184" w:name="_Toc8581"/>
      <w:bookmarkStart w:id="185" w:name="_Toc44611589"/>
      <w:bookmarkStart w:id="186" w:name="_Toc22052"/>
      <w:bookmarkStart w:id="187" w:name="_Toc10073"/>
      <w:r>
        <w:rPr>
          <w:rFonts w:hint="eastAsia"/>
          <w:b/>
          <w:bCs w:val="0"/>
          <w:color w:val="000000" w:themeColor="text1"/>
          <w:szCs w:val="32"/>
        </w:rPr>
        <w:t>推进国土整治修复与城市更新，提升空间综合价值</w:t>
      </w:r>
      <w:bookmarkEnd w:id="182"/>
      <w:bookmarkEnd w:id="183"/>
      <w:bookmarkEnd w:id="184"/>
      <w:bookmarkEnd w:id="185"/>
      <w:bookmarkEnd w:id="186"/>
      <w:bookmarkEnd w:id="187"/>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针对空间治理问题，分类开展整治、修复与更新，有序盘活存量，提高国土空间的品质和价值。</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w:t>
      </w:r>
      <w:r>
        <w:rPr>
          <w:rFonts w:ascii="Times New Roman" w:eastAsia="仿宋_GB2312" w:hint="eastAsia"/>
          <w:color w:val="000000" w:themeColor="text1"/>
          <w:sz w:val="32"/>
          <w:szCs w:val="32"/>
        </w:rPr>
        <w:t>1</w:t>
      </w:r>
      <w:r>
        <w:rPr>
          <w:rFonts w:ascii="Times New Roman" w:eastAsia="仿宋_GB2312" w:hint="eastAsia"/>
          <w:color w:val="000000" w:themeColor="text1"/>
          <w:sz w:val="32"/>
          <w:szCs w:val="32"/>
        </w:rPr>
        <w:t>）生态修复应坚持山水林田湖草生命共同体的理念，按照陆海统筹的原则，针对生态功能退化、生物多样性减少、水土污染、洪涝灾害、地质灾害等问题区域，明确生态系统修复的目标、重点区域和重大工程，维护生态系统，改善生态功能。</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w:t>
      </w:r>
      <w:r>
        <w:rPr>
          <w:rFonts w:ascii="Times New Roman" w:eastAsia="仿宋_GB2312" w:hint="eastAsia"/>
          <w:color w:val="000000" w:themeColor="text1"/>
          <w:sz w:val="32"/>
          <w:szCs w:val="32"/>
        </w:rPr>
        <w:t>2</w:t>
      </w:r>
      <w:r>
        <w:rPr>
          <w:rFonts w:ascii="Times New Roman" w:eastAsia="仿宋_GB2312" w:hint="eastAsia"/>
          <w:color w:val="000000" w:themeColor="text1"/>
          <w:sz w:val="32"/>
          <w:szCs w:val="32"/>
        </w:rPr>
        <w:t>）土地整治应以乡村振兴为目标，结合村庄布局优化要求，推进乡村地区田水路林村全要素综合整治，针对土壤退化等问题，提出农用地综合整治、低效建设用地整治等综合整治目标、重点区域和重大工程，建设美丽乡村。</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w:t>
      </w:r>
      <w:r>
        <w:rPr>
          <w:rFonts w:ascii="Times New Roman" w:eastAsia="仿宋_GB2312" w:hint="eastAsia"/>
          <w:color w:val="000000" w:themeColor="text1"/>
          <w:sz w:val="32"/>
          <w:szCs w:val="32"/>
        </w:rPr>
        <w:t>3</w:t>
      </w:r>
      <w:r>
        <w:rPr>
          <w:rFonts w:ascii="Times New Roman" w:eastAsia="仿宋_GB2312" w:hint="eastAsia"/>
          <w:color w:val="000000" w:themeColor="text1"/>
          <w:sz w:val="32"/>
          <w:szCs w:val="32"/>
        </w:rPr>
        <w:t>）城市更新应根据城市发展阶段与目标、用地潜力和空间布局特点，明确实施城市有机更新的重点区域，根据需要确定城市更新空间单元，结合城乡生活圈构建，注重补短板、强弱项，优化功能布局和开发强度，传承历史文化，提升城市品质和活力，避免大拆大建，保障公共利益。</w:t>
      </w:r>
    </w:p>
    <w:p w:rsidR="007B4818" w:rsidRDefault="00D73177">
      <w:pPr>
        <w:pStyle w:val="2"/>
        <w:ind w:left="0" w:firstLine="0"/>
        <w:jc w:val="both"/>
        <w:rPr>
          <w:b/>
          <w:bCs w:val="0"/>
          <w:color w:val="000000" w:themeColor="text1"/>
          <w:szCs w:val="32"/>
        </w:rPr>
      </w:pPr>
      <w:bookmarkStart w:id="188" w:name="_Toc23069"/>
      <w:bookmarkStart w:id="189" w:name="_Toc31109"/>
      <w:bookmarkStart w:id="190" w:name="_Toc25163"/>
      <w:bookmarkStart w:id="191" w:name="_Toc1022"/>
      <w:bookmarkStart w:id="192" w:name="_Toc44611590"/>
      <w:bookmarkStart w:id="193" w:name="_Toc28242"/>
      <w:r>
        <w:rPr>
          <w:rFonts w:hint="eastAsia"/>
          <w:b/>
          <w:bCs w:val="0"/>
          <w:color w:val="000000" w:themeColor="text1"/>
          <w:szCs w:val="32"/>
        </w:rPr>
        <w:t>建立</w:t>
      </w:r>
      <w:r>
        <w:rPr>
          <w:b/>
          <w:bCs w:val="0"/>
          <w:color w:val="000000" w:themeColor="text1"/>
          <w:szCs w:val="32"/>
        </w:rPr>
        <w:t>规划实施保障机制</w:t>
      </w:r>
      <w:r>
        <w:rPr>
          <w:rFonts w:hint="eastAsia"/>
          <w:b/>
          <w:bCs w:val="0"/>
          <w:color w:val="000000" w:themeColor="text1"/>
          <w:szCs w:val="32"/>
        </w:rPr>
        <w:t>，</w:t>
      </w:r>
      <w:r>
        <w:rPr>
          <w:b/>
          <w:bCs w:val="0"/>
          <w:color w:val="000000" w:themeColor="text1"/>
          <w:szCs w:val="32"/>
        </w:rPr>
        <w:t>确保一张蓝图干到底</w:t>
      </w:r>
      <w:bookmarkEnd w:id="188"/>
      <w:bookmarkEnd w:id="189"/>
      <w:bookmarkEnd w:id="190"/>
      <w:bookmarkEnd w:id="191"/>
      <w:bookmarkEnd w:id="192"/>
      <w:bookmarkEnd w:id="193"/>
    </w:p>
    <w:p w:rsidR="007B4818" w:rsidRDefault="00D73177">
      <w:pPr>
        <w:ind w:firstLineChars="200" w:firstLine="640"/>
        <w:rPr>
          <w:rFonts w:ascii="Times New Roman" w:eastAsia="仿宋_GB2312"/>
          <w:color w:val="000000" w:themeColor="text1"/>
          <w:sz w:val="32"/>
          <w:szCs w:val="32"/>
        </w:rPr>
      </w:pPr>
      <w:bookmarkStart w:id="194" w:name="_Toc33207308"/>
      <w:r>
        <w:rPr>
          <w:rFonts w:ascii="Times New Roman" w:eastAsia="仿宋_GB2312" w:hint="eastAsia"/>
          <w:color w:val="000000" w:themeColor="text1"/>
          <w:sz w:val="32"/>
          <w:szCs w:val="32"/>
        </w:rPr>
        <w:t>保障规划有效实施，提出对下位规划和专项规划的指引；衔接国民经济和社会发展五年规划，制定近期行动计划；提出规划实施保障措施和机制，以“一张图”为支撑完善规划全生命周期管理。</w:t>
      </w:r>
    </w:p>
    <w:p w:rsidR="007B4818" w:rsidRDefault="00D73177">
      <w:pPr>
        <w:ind w:firstLineChars="200" w:firstLine="643"/>
        <w:rPr>
          <w:rFonts w:ascii="Times New Roman" w:eastAsia="仿宋_GB2312"/>
          <w:b/>
          <w:color w:val="000000" w:themeColor="text1"/>
          <w:sz w:val="32"/>
          <w:szCs w:val="32"/>
        </w:rPr>
      </w:pPr>
      <w:r>
        <w:rPr>
          <w:rFonts w:ascii="Times New Roman" w:eastAsia="仿宋_GB2312" w:hint="eastAsia"/>
          <w:b/>
          <w:color w:val="000000" w:themeColor="text1"/>
          <w:sz w:val="32"/>
          <w:szCs w:val="32"/>
        </w:rPr>
        <w:t>（</w:t>
      </w:r>
      <w:r>
        <w:rPr>
          <w:rFonts w:ascii="Times New Roman" w:eastAsia="仿宋_GB2312"/>
          <w:b/>
          <w:color w:val="000000" w:themeColor="text1"/>
          <w:sz w:val="32"/>
          <w:szCs w:val="32"/>
        </w:rPr>
        <w:t>1</w:t>
      </w:r>
      <w:r>
        <w:rPr>
          <w:rFonts w:ascii="Times New Roman" w:eastAsia="仿宋_GB2312" w:hint="eastAsia"/>
          <w:b/>
          <w:color w:val="000000" w:themeColor="text1"/>
          <w:sz w:val="32"/>
          <w:szCs w:val="32"/>
        </w:rPr>
        <w:t>）区县指引</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对市辖县（区、市）提出规划指引，按照主体功能区定位，落实市级总规确定的规划目标、规划分区、重要控制线、城镇定位、要素配置等规划内容。制定市辖县（区、市）的约束性指标分解方案，下达调控指标，确保约束性指标的落实。</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各地可根据实际情况，在市级总规基础上，大城市可以行政区或规划片区为单元编制分区规划（相当于县级总规），中小城市可直接划分详规单元，加强对详细规划的指引和传导。涉及中心城区范围的县（区、市）的国土空间总体规划，应落实市级总规对中心城区的国土空间安排。</w:t>
      </w:r>
    </w:p>
    <w:p w:rsidR="007B4818" w:rsidRDefault="00D73177">
      <w:pPr>
        <w:ind w:firstLineChars="200" w:firstLine="643"/>
        <w:rPr>
          <w:rFonts w:ascii="Times New Roman" w:eastAsia="仿宋_GB2312"/>
          <w:b/>
          <w:color w:val="000000" w:themeColor="text1"/>
          <w:sz w:val="32"/>
          <w:szCs w:val="32"/>
        </w:rPr>
      </w:pPr>
      <w:r>
        <w:rPr>
          <w:rFonts w:ascii="Times New Roman" w:eastAsia="仿宋_GB2312" w:hint="eastAsia"/>
          <w:b/>
          <w:color w:val="000000" w:themeColor="text1"/>
          <w:sz w:val="32"/>
          <w:szCs w:val="32"/>
        </w:rPr>
        <w:t>（</w:t>
      </w:r>
      <w:r>
        <w:rPr>
          <w:rFonts w:ascii="Times New Roman" w:eastAsia="仿宋_GB2312"/>
          <w:b/>
          <w:color w:val="000000" w:themeColor="text1"/>
          <w:sz w:val="32"/>
          <w:szCs w:val="32"/>
        </w:rPr>
        <w:t>2</w:t>
      </w:r>
      <w:r>
        <w:rPr>
          <w:rFonts w:ascii="Times New Roman" w:eastAsia="仿宋_GB2312" w:hint="eastAsia"/>
          <w:b/>
          <w:color w:val="000000" w:themeColor="text1"/>
          <w:sz w:val="32"/>
          <w:szCs w:val="32"/>
        </w:rPr>
        <w:t>）专项指引</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明确专项规划编制清单。相关专项规划应在国土空间总体规划的指导约束下编制，落实相关约束性指标，不得违背市级总规的强制性内容。经依法批准后纳入市级国土空间基础信息平台，叠加到国土空间规划“一张图”上。</w:t>
      </w:r>
    </w:p>
    <w:p w:rsidR="007B4818" w:rsidRDefault="00D73177">
      <w:pPr>
        <w:ind w:firstLineChars="200" w:firstLine="643"/>
        <w:rPr>
          <w:rFonts w:ascii="Times New Roman" w:eastAsia="仿宋_GB2312"/>
          <w:b/>
          <w:color w:val="000000" w:themeColor="text1"/>
          <w:sz w:val="32"/>
          <w:szCs w:val="32"/>
        </w:rPr>
      </w:pPr>
      <w:r>
        <w:rPr>
          <w:rFonts w:ascii="Times New Roman" w:eastAsia="仿宋_GB2312" w:hint="eastAsia"/>
          <w:b/>
          <w:color w:val="000000" w:themeColor="text1"/>
          <w:sz w:val="32"/>
          <w:szCs w:val="32"/>
        </w:rPr>
        <w:t>（</w:t>
      </w:r>
      <w:r>
        <w:rPr>
          <w:rFonts w:ascii="Times New Roman" w:eastAsia="仿宋_GB2312"/>
          <w:b/>
          <w:color w:val="000000" w:themeColor="text1"/>
          <w:sz w:val="32"/>
          <w:szCs w:val="32"/>
        </w:rPr>
        <w:t>3</w:t>
      </w:r>
      <w:r>
        <w:rPr>
          <w:rFonts w:ascii="Times New Roman" w:eastAsia="仿宋_GB2312" w:hint="eastAsia"/>
          <w:b/>
          <w:color w:val="000000" w:themeColor="text1"/>
          <w:sz w:val="32"/>
          <w:szCs w:val="32"/>
        </w:rPr>
        <w:t>）近期行动计划</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衔接国民经济和社会发展五年规划，结合城市体检评估，对规划近期做出统筹安排，制定行动计划。编制城市更新、土地整治、生态修复、基础设施、公共服务设施和防洪排涝工程等重大项目清单，提出实施支撑政策。</w:t>
      </w:r>
    </w:p>
    <w:p w:rsidR="007B4818" w:rsidRDefault="00D73177">
      <w:pPr>
        <w:ind w:firstLineChars="200" w:firstLine="643"/>
        <w:rPr>
          <w:rFonts w:ascii="Times New Roman" w:eastAsia="仿宋_GB2312"/>
          <w:b/>
          <w:color w:val="000000" w:themeColor="text1"/>
          <w:sz w:val="32"/>
          <w:szCs w:val="32"/>
        </w:rPr>
      </w:pPr>
      <w:r>
        <w:rPr>
          <w:rFonts w:ascii="Times New Roman" w:eastAsia="仿宋_GB2312" w:hint="eastAsia"/>
          <w:b/>
          <w:color w:val="000000" w:themeColor="text1"/>
          <w:sz w:val="32"/>
          <w:szCs w:val="32"/>
        </w:rPr>
        <w:t>（</w:t>
      </w:r>
      <w:r>
        <w:rPr>
          <w:rFonts w:ascii="Times New Roman" w:eastAsia="仿宋_GB2312"/>
          <w:b/>
          <w:color w:val="000000" w:themeColor="text1"/>
          <w:sz w:val="32"/>
          <w:szCs w:val="32"/>
        </w:rPr>
        <w:t>4</w:t>
      </w:r>
      <w:r>
        <w:rPr>
          <w:rFonts w:ascii="Times New Roman" w:eastAsia="仿宋_GB2312" w:hint="eastAsia"/>
          <w:b/>
          <w:color w:val="000000" w:themeColor="text1"/>
          <w:sz w:val="32"/>
          <w:szCs w:val="32"/>
        </w:rPr>
        <w:t>）政策机制</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落实和细化主体功能区等政策，提出有针对性、可操作的财政、投资、产业、环境、生态、人口、土地等规划实施政策措施，保障规划目标的实现，促进国土空间的优化和空间资源的资产价值实现。鼓励</w:t>
      </w:r>
      <w:r>
        <w:rPr>
          <w:rFonts w:ascii="Times New Roman" w:eastAsia="仿宋_GB2312"/>
          <w:color w:val="000000" w:themeColor="text1"/>
          <w:sz w:val="32"/>
          <w:szCs w:val="32"/>
        </w:rPr>
        <w:t>探索主体功能区制度在基层落实的途径，</w:t>
      </w:r>
      <w:r>
        <w:rPr>
          <w:rFonts w:ascii="Times New Roman" w:eastAsia="仿宋_GB2312" w:hint="eastAsia"/>
          <w:color w:val="000000" w:themeColor="text1"/>
          <w:sz w:val="32"/>
          <w:szCs w:val="32"/>
        </w:rPr>
        <w:t>各地可依法制定相应配套措施。</w:t>
      </w:r>
    </w:p>
    <w:p w:rsidR="007B4818" w:rsidRDefault="00D73177">
      <w:pPr>
        <w:ind w:firstLineChars="200" w:firstLine="643"/>
        <w:rPr>
          <w:rFonts w:ascii="Times New Roman" w:eastAsia="仿宋_GB2312"/>
          <w:b/>
          <w:color w:val="000000" w:themeColor="text1"/>
          <w:sz w:val="32"/>
          <w:szCs w:val="32"/>
        </w:rPr>
      </w:pPr>
      <w:r>
        <w:rPr>
          <w:rFonts w:ascii="Times New Roman" w:eastAsia="仿宋_GB2312" w:hint="eastAsia"/>
          <w:b/>
          <w:color w:val="000000" w:themeColor="text1"/>
          <w:sz w:val="32"/>
          <w:szCs w:val="32"/>
        </w:rPr>
        <w:t>（</w:t>
      </w:r>
      <w:r>
        <w:rPr>
          <w:rFonts w:ascii="Times New Roman" w:eastAsia="仿宋_GB2312"/>
          <w:b/>
          <w:color w:val="000000" w:themeColor="text1"/>
          <w:sz w:val="32"/>
          <w:szCs w:val="32"/>
        </w:rPr>
        <w:t>5</w:t>
      </w:r>
      <w:r>
        <w:rPr>
          <w:rFonts w:ascii="Times New Roman" w:eastAsia="仿宋_GB2312" w:hint="eastAsia"/>
          <w:b/>
          <w:color w:val="000000" w:themeColor="text1"/>
          <w:sz w:val="32"/>
          <w:szCs w:val="32"/>
        </w:rPr>
        <w:t>）国土空间规划“一张图”建设</w:t>
      </w:r>
    </w:p>
    <w:p w:rsidR="007B4818" w:rsidRDefault="00D73177">
      <w:pPr>
        <w:ind w:firstLineChars="200" w:firstLine="640"/>
        <w:rPr>
          <w:rFonts w:ascii="Times New Roman" w:eastAsia="仿宋_GB2312"/>
          <w:color w:val="000000" w:themeColor="text1"/>
          <w:sz w:val="32"/>
          <w:szCs w:val="32"/>
        </w:rPr>
      </w:pPr>
      <w:r>
        <w:rPr>
          <w:rFonts w:ascii="Times New Roman" w:eastAsia="仿宋_GB2312" w:hint="eastAsia"/>
          <w:color w:val="000000" w:themeColor="text1"/>
          <w:sz w:val="32"/>
          <w:szCs w:val="32"/>
        </w:rPr>
        <w:t>形成市级总规数据库，作为市级总规的成果组成部分同步上报。建立各部门共建共享共用、全市统一、市县（区）联动的国土空间基础信息平台，并做好与国家级平台对接，积极推进与其他信息平台的横向联通和数据共享。基于国土空间基础信息平台同步建设国土空间规划“一张图”实施监督信息系统，为城市体检评估和规划全生命周期管理奠定基础。基于国土空间基础信息平台，探索建立城市信息模型（</w:t>
      </w:r>
      <w:r>
        <w:rPr>
          <w:rFonts w:ascii="Times New Roman" w:eastAsia="仿宋_GB2312" w:hint="eastAsia"/>
          <w:color w:val="000000" w:themeColor="text1"/>
          <w:sz w:val="32"/>
          <w:szCs w:val="32"/>
        </w:rPr>
        <w:t>CIM</w:t>
      </w:r>
      <w:r>
        <w:rPr>
          <w:rFonts w:ascii="Times New Roman" w:eastAsia="仿宋_GB2312" w:hint="eastAsia"/>
          <w:color w:val="000000" w:themeColor="text1"/>
          <w:sz w:val="32"/>
          <w:szCs w:val="32"/>
        </w:rPr>
        <w:t>）和城市时空感知系统，促进智慧规划和智慧城市建设，提高国土空间</w:t>
      </w:r>
      <w:r>
        <w:rPr>
          <w:rFonts w:ascii="Times New Roman" w:eastAsia="仿宋_GB2312"/>
          <w:color w:val="000000" w:themeColor="text1"/>
          <w:sz w:val="32"/>
          <w:szCs w:val="32"/>
        </w:rPr>
        <w:t>精治</w:t>
      </w:r>
      <w:r>
        <w:rPr>
          <w:rFonts w:ascii="Times New Roman" w:eastAsia="仿宋_GB2312" w:hint="eastAsia"/>
          <w:color w:val="000000" w:themeColor="text1"/>
          <w:sz w:val="32"/>
          <w:szCs w:val="32"/>
        </w:rPr>
        <w:t>、共治、法治水平。</w:t>
      </w:r>
      <w:bookmarkEnd w:id="194"/>
    </w:p>
    <w:p w:rsidR="007B4818" w:rsidRDefault="00D73177">
      <w:pPr>
        <w:pStyle w:val="1"/>
        <w:spacing w:line="240" w:lineRule="auto"/>
        <w:jc w:val="both"/>
        <w:rPr>
          <w:color w:val="000000" w:themeColor="text1"/>
          <w:szCs w:val="32"/>
        </w:rPr>
      </w:pPr>
      <w:bookmarkStart w:id="195" w:name="_Toc44611596"/>
      <w:bookmarkStart w:id="196" w:name="_Toc38876644"/>
      <w:bookmarkStart w:id="197" w:name="_Toc12517"/>
      <w:bookmarkStart w:id="198" w:name="_Toc31616"/>
      <w:bookmarkStart w:id="199" w:name="_Toc20900"/>
      <w:bookmarkStart w:id="200" w:name="_Toc25904"/>
      <w:bookmarkStart w:id="201" w:name="_Toc17822"/>
      <w:bookmarkStart w:id="202" w:name="_Toc38982773"/>
      <w:bookmarkStart w:id="203" w:name="_Toc33207313"/>
      <w:r>
        <w:rPr>
          <w:rFonts w:hint="eastAsia"/>
          <w:color w:val="000000" w:themeColor="text1"/>
          <w:szCs w:val="32"/>
        </w:rPr>
        <w:t>公众参与和多方协</w:t>
      </w:r>
      <w:r>
        <w:rPr>
          <w:color w:val="000000" w:themeColor="text1"/>
          <w:szCs w:val="32"/>
        </w:rPr>
        <w:t>同</w:t>
      </w:r>
      <w:bookmarkEnd w:id="195"/>
      <w:bookmarkEnd w:id="196"/>
      <w:bookmarkEnd w:id="197"/>
      <w:bookmarkEnd w:id="198"/>
      <w:bookmarkEnd w:id="199"/>
      <w:bookmarkEnd w:id="200"/>
      <w:bookmarkEnd w:id="201"/>
    </w:p>
    <w:p w:rsidR="007B4818" w:rsidRDefault="00D73177">
      <w:pPr>
        <w:ind w:firstLineChars="200" w:firstLine="640"/>
        <w:rPr>
          <w:color w:val="000000" w:themeColor="text1"/>
        </w:rPr>
      </w:pPr>
      <w:r>
        <w:rPr>
          <w:rFonts w:ascii="Times New Roman" w:eastAsia="仿宋_GB2312" w:hint="eastAsia"/>
          <w:color w:val="000000" w:themeColor="text1"/>
          <w:sz w:val="32"/>
          <w:szCs w:val="30"/>
        </w:rPr>
        <w:t>贯彻落实“人民城市人民建，人民城市为人民”理念，坚持开门编规划，建立全流程、多渠道的公众参与和社会协同机制。在规划编制阶段，广泛调研社会各界意见和需求，深入了解人民群众所需所急所盼；充分调动和整合各方力量，鼓励各类相关机构参与规划编制；健全专家咨询机制</w:t>
      </w:r>
      <w:r>
        <w:rPr>
          <w:rFonts w:ascii="Times New Roman" w:eastAsia="仿宋_GB2312" w:hint="eastAsia"/>
          <w:color w:val="000000" w:themeColor="text1"/>
          <w:sz w:val="32"/>
          <w:szCs w:val="30"/>
          <w:lang w:val="zh-CN"/>
        </w:rPr>
        <w:t>，组建包括各相关领域专家的综合性咨询团队；完善部门协作机制，</w:t>
      </w:r>
      <w:r>
        <w:rPr>
          <w:rFonts w:ascii="Times New Roman" w:eastAsia="仿宋_GB2312" w:hint="eastAsia"/>
          <w:color w:val="000000" w:themeColor="text1"/>
          <w:sz w:val="32"/>
          <w:szCs w:val="30"/>
        </w:rPr>
        <w:t>共同推进规划编制工作。在方案论证阶段，</w:t>
      </w:r>
      <w:r>
        <w:rPr>
          <w:rFonts w:ascii="Times New Roman" w:eastAsia="仿宋_GB2312" w:hint="eastAsia"/>
          <w:color w:val="000000" w:themeColor="text1"/>
          <w:sz w:val="32"/>
          <w:szCs w:val="30"/>
          <w:lang w:val="zh-CN"/>
        </w:rPr>
        <w:t>要形成通俗易懂可视化的</w:t>
      </w:r>
      <w:r>
        <w:rPr>
          <w:rFonts w:ascii="Times New Roman" w:eastAsia="仿宋_GB2312" w:hint="eastAsia"/>
          <w:color w:val="000000" w:themeColor="text1"/>
          <w:sz w:val="32"/>
          <w:szCs w:val="30"/>
        </w:rPr>
        <w:t>中间成果，充分征求有关部门、社会各界意见。规划获批后，应在符合国家保密管理和地图管理等有关规定的基础上及时公开，并接受社会公众监督。</w:t>
      </w:r>
    </w:p>
    <w:p w:rsidR="007B4818" w:rsidRDefault="00D73177">
      <w:pPr>
        <w:pStyle w:val="1"/>
        <w:spacing w:line="240" w:lineRule="auto"/>
        <w:jc w:val="both"/>
        <w:rPr>
          <w:color w:val="000000" w:themeColor="text1"/>
          <w:szCs w:val="32"/>
        </w:rPr>
      </w:pPr>
      <w:bookmarkStart w:id="204" w:name="_Toc10446"/>
      <w:bookmarkStart w:id="205" w:name="_Toc13669"/>
      <w:bookmarkStart w:id="206" w:name="_Toc12454"/>
      <w:bookmarkStart w:id="207" w:name="_Toc15773"/>
      <w:bookmarkStart w:id="208" w:name="_Toc44611597"/>
      <w:bookmarkStart w:id="209" w:name="_Toc10946"/>
      <w:r>
        <w:rPr>
          <w:rFonts w:hint="eastAsia"/>
          <w:color w:val="000000" w:themeColor="text1"/>
          <w:szCs w:val="32"/>
        </w:rPr>
        <w:t>审查要求</w:t>
      </w:r>
      <w:bookmarkEnd w:id="204"/>
      <w:bookmarkEnd w:id="205"/>
      <w:bookmarkEnd w:id="206"/>
      <w:bookmarkEnd w:id="207"/>
      <w:bookmarkEnd w:id="208"/>
      <w:bookmarkEnd w:id="209"/>
    </w:p>
    <w:p w:rsidR="007B4818" w:rsidRDefault="00D73177">
      <w:pPr>
        <w:ind w:firstLineChars="200" w:firstLine="640"/>
        <w:rPr>
          <w:rFonts w:ascii="Times New Roman" w:eastAsia="仿宋_GB2312"/>
          <w:color w:val="000000" w:themeColor="text1"/>
          <w:sz w:val="32"/>
          <w:szCs w:val="30"/>
        </w:rPr>
      </w:pPr>
      <w:bookmarkStart w:id="210" w:name="_Toc44611598"/>
      <w:bookmarkStart w:id="211" w:name="_Toc5681"/>
      <w:r>
        <w:rPr>
          <w:rFonts w:ascii="Times New Roman" w:eastAsia="仿宋_GB2312" w:hint="eastAsia"/>
          <w:color w:val="000000" w:themeColor="text1"/>
          <w:sz w:val="32"/>
          <w:szCs w:val="30"/>
        </w:rPr>
        <w:t>在方案论证阶段和成果报批之前，审查机关应组织专家参与论证和进行审查。审查要件包括市级总规相关成果。报国务院审批城市的审查要点依据《自然资源部关于全面开展国土空间规划工作的通知》（自然资发〔</w:t>
      </w:r>
      <w:r>
        <w:rPr>
          <w:rFonts w:ascii="Times New Roman" w:eastAsia="仿宋_GB2312"/>
          <w:color w:val="000000" w:themeColor="text1"/>
          <w:sz w:val="32"/>
          <w:szCs w:val="30"/>
        </w:rPr>
        <w:t>2019</w:t>
      </w:r>
      <w:r>
        <w:rPr>
          <w:rFonts w:ascii="Times New Roman" w:eastAsia="仿宋_GB2312" w:hint="eastAsia"/>
          <w:color w:val="000000" w:themeColor="text1"/>
          <w:sz w:val="32"/>
          <w:szCs w:val="30"/>
        </w:rPr>
        <w:t>〕</w:t>
      </w:r>
      <w:r>
        <w:rPr>
          <w:rFonts w:ascii="Times New Roman" w:eastAsia="仿宋_GB2312"/>
          <w:color w:val="000000" w:themeColor="text1"/>
          <w:sz w:val="32"/>
          <w:szCs w:val="30"/>
        </w:rPr>
        <w:t>87</w:t>
      </w:r>
      <w:r>
        <w:rPr>
          <w:rFonts w:ascii="Times New Roman" w:eastAsia="仿宋_GB2312"/>
          <w:color w:val="000000" w:themeColor="text1"/>
          <w:sz w:val="32"/>
          <w:szCs w:val="30"/>
        </w:rPr>
        <w:t>号</w:t>
      </w:r>
      <w:r>
        <w:rPr>
          <w:rFonts w:ascii="Times New Roman" w:eastAsia="仿宋_GB2312" w:hint="eastAsia"/>
          <w:color w:val="000000" w:themeColor="text1"/>
          <w:sz w:val="32"/>
          <w:szCs w:val="30"/>
        </w:rPr>
        <w:t>），其他城市的审查要点各省（区）可结合实际参照执行。</w:t>
      </w:r>
    </w:p>
    <w:bookmarkEnd w:id="0"/>
    <w:bookmarkEnd w:id="27"/>
    <w:bookmarkEnd w:id="202"/>
    <w:bookmarkEnd w:id="203"/>
    <w:bookmarkEnd w:id="210"/>
    <w:bookmarkEnd w:id="211"/>
    <w:p w:rsidR="007B4818" w:rsidRDefault="00D73177">
      <w:pPr>
        <w:spacing w:line="560" w:lineRule="exact"/>
        <w:ind w:firstLineChars="200" w:firstLine="420"/>
        <w:rPr>
          <w:rFonts w:ascii="宋体" w:eastAsia="等线" w:hAnsi="宋体" w:cs="宋体"/>
          <w:color w:val="000000" w:themeColor="text1"/>
          <w:kern w:val="0"/>
          <w:sz w:val="24"/>
          <w:szCs w:val="21"/>
        </w:rPr>
      </w:pPr>
      <w:r>
        <w:rPr>
          <w:color w:val="000000" w:themeColor="text1"/>
        </w:rPr>
        <w:br w:type="page"/>
      </w:r>
    </w:p>
    <w:p w:rsidR="007B4818" w:rsidRDefault="00D73177">
      <w:pPr>
        <w:pStyle w:val="1"/>
        <w:numPr>
          <w:ilvl w:val="0"/>
          <w:numId w:val="0"/>
        </w:numPr>
        <w:spacing w:line="240" w:lineRule="auto"/>
        <w:ind w:left="425" w:hanging="425"/>
        <w:jc w:val="both"/>
        <w:rPr>
          <w:color w:val="000000" w:themeColor="text1"/>
          <w:szCs w:val="32"/>
        </w:rPr>
      </w:pPr>
      <w:bookmarkStart w:id="212" w:name="_Toc11055"/>
      <w:bookmarkStart w:id="213" w:name="_Toc5251"/>
      <w:bookmarkStart w:id="214" w:name="_Toc44611601"/>
      <w:bookmarkStart w:id="215" w:name="_Toc4879"/>
      <w:bookmarkStart w:id="216" w:name="_Toc38876645"/>
      <w:bookmarkStart w:id="217" w:name="_Toc38459436"/>
      <w:bookmarkStart w:id="218" w:name="_Toc11518"/>
      <w:bookmarkStart w:id="219" w:name="_Toc16055"/>
      <w:r>
        <w:rPr>
          <w:rFonts w:hint="eastAsia"/>
          <w:color w:val="000000" w:themeColor="text1"/>
          <w:szCs w:val="32"/>
        </w:rPr>
        <w:t>附录</w:t>
      </w:r>
      <w:r>
        <w:rPr>
          <w:color w:val="000000" w:themeColor="text1"/>
          <w:szCs w:val="32"/>
        </w:rPr>
        <w:t xml:space="preserve">A  </w:t>
      </w:r>
      <w:r>
        <w:rPr>
          <w:rFonts w:hint="eastAsia"/>
          <w:color w:val="000000" w:themeColor="text1"/>
          <w:szCs w:val="32"/>
        </w:rPr>
        <w:t>名词解释和说明</w:t>
      </w:r>
      <w:bookmarkEnd w:id="212"/>
      <w:bookmarkEnd w:id="213"/>
      <w:bookmarkEnd w:id="214"/>
      <w:bookmarkEnd w:id="215"/>
      <w:bookmarkEnd w:id="216"/>
      <w:bookmarkEnd w:id="217"/>
      <w:bookmarkEnd w:id="218"/>
      <w:bookmarkEnd w:id="219"/>
    </w:p>
    <w:p w:rsidR="007B4818" w:rsidRDefault="00D73177">
      <w:pPr>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A.1都市圈</w:t>
      </w:r>
    </w:p>
    <w:p w:rsidR="007B4818" w:rsidRDefault="00D73177">
      <w:pPr>
        <w:widowControl/>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以中心城市为核心，与周边城乡在日常通勤和功能组织上存在密切联系的一体化地区，一般为一小时通勤圈，是带动区域产业、生态和服务设施等一体化发展的空间单元。</w:t>
      </w:r>
    </w:p>
    <w:p w:rsidR="007B4818" w:rsidRDefault="00D73177">
      <w:pPr>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A.2城镇圈</w:t>
      </w:r>
    </w:p>
    <w:p w:rsidR="007B4818" w:rsidRDefault="00D73177">
      <w:pPr>
        <w:widowControl/>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以重点城镇为核心，空间服务功能和经济社会活动紧密关联的城乡一体化区域，一般为半小时通勤圈，是统筹城乡空间组织和资源配置的基础单元，体现城乡融合和公共服务的共建共享。</w:t>
      </w:r>
    </w:p>
    <w:p w:rsidR="007B4818" w:rsidRDefault="00D73177">
      <w:pPr>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A.3城乡生活圈</w:t>
      </w:r>
    </w:p>
    <w:p w:rsidR="007B4818" w:rsidRDefault="00D73177">
      <w:pPr>
        <w:pStyle w:val="af2"/>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按照以人为核心的城镇化要求，围绕全年龄段人口的居住、就业、游憩、出行、学习、康养等全面发展的生活需要，在一定空间范围内，形成日常出行尺度的功能复合的城乡生活共同体。对应不同时空尺度，城乡生活圈可分为都市生活圈、城镇生活圈、社区生活圈等；其中，社区生活圈应作为完善城乡服务功能的基本单元。</w:t>
      </w:r>
    </w:p>
    <w:p w:rsidR="007B4818" w:rsidRDefault="00D73177">
      <w:pPr>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A.4城区</w:t>
      </w:r>
    </w:p>
    <w:p w:rsidR="007B4818" w:rsidRDefault="00D73177">
      <w:pPr>
        <w:pStyle w:val="af2"/>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在市辖区和不设区的市，区、市政府驻地的实际建设连接到的居民委员会所辖区域和其他区域，一般是指由实际已开发建设、市政公用设施和公共服务设施基本具备的居（村）民委员会辖区构成的建成区。</w:t>
      </w:r>
    </w:p>
    <w:p w:rsidR="007B4818" w:rsidRDefault="00D73177">
      <w:pPr>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A.5中心城区</w:t>
      </w:r>
    </w:p>
    <w:p w:rsidR="007B4818" w:rsidRDefault="00D73177">
      <w:pPr>
        <w:widowControl/>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市级总规关注的重点地区，根据实际和本地规划管理需求等确定，一般包括城市建成区及规划扩展区域，如核心区、组团、市级重要产业园区等；一般不包括外围独立发展、零星散布的县城及镇的建成区。</w:t>
      </w:r>
    </w:p>
    <w:p w:rsidR="007B4818" w:rsidRDefault="00D73177">
      <w:pPr>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A.6城市实际服务管理人口</w:t>
      </w:r>
    </w:p>
    <w:p w:rsidR="007B4818" w:rsidRDefault="00D73177">
      <w:pPr>
        <w:widowControl/>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需要本市提供交通、市政、商业等城市基本服务以及行政管理的城市实有人口，除城市常住人口外，还包括出差、旅游、就医等短期停留人口。</w:t>
      </w:r>
    </w:p>
    <w:p w:rsidR="007B4818" w:rsidRDefault="00D73177">
      <w:pPr>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A.7慢行系统</w:t>
      </w:r>
    </w:p>
    <w:p w:rsidR="007B4818" w:rsidRDefault="00D73177">
      <w:pPr>
        <w:widowControl/>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步行、自行车等慢行方式出行使用的道路交通网络及附属设施，主要包括城镇与居民点内部的生活性步行交通系统、自行车交通系统；与城乡生态空间结合的，供人们健身、休闲的绿道网系统等。</w:t>
      </w:r>
    </w:p>
    <w:p w:rsidR="007B4818" w:rsidRDefault="00D73177">
      <w:pPr>
        <w:widowControl/>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A.8洪涝风险控制线</w:t>
      </w:r>
    </w:p>
    <w:p w:rsidR="007B4818" w:rsidRDefault="00D73177">
      <w:pPr>
        <w:widowControl/>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为保障防洪排涝系统的完整性和通达性，为雨洪水蓄滞和行</w:t>
      </w:r>
      <w:r>
        <w:rPr>
          <w:rFonts w:ascii="仿宋_GB2312" w:eastAsia="仿宋_GB2312" w:hAnsi="仿宋_GB2312" w:cs="仿宋_GB2312"/>
          <w:bCs/>
          <w:color w:val="000000" w:themeColor="text1"/>
          <w:sz w:val="32"/>
          <w:szCs w:val="32"/>
        </w:rPr>
        <w:t>泄</w:t>
      </w:r>
      <w:r>
        <w:rPr>
          <w:rFonts w:ascii="仿宋_GB2312" w:eastAsia="仿宋_GB2312" w:hAnsi="仿宋_GB2312" w:cs="仿宋_GB2312" w:hint="eastAsia"/>
          <w:bCs/>
          <w:color w:val="000000" w:themeColor="text1"/>
          <w:sz w:val="32"/>
          <w:szCs w:val="32"/>
        </w:rPr>
        <w:t>划定的自然空间和重大调蓄设施用地范围，包括河湖湿地、坑塘农区、绿地洼地、</w:t>
      </w:r>
      <w:r>
        <w:rPr>
          <w:rFonts w:ascii="仿宋_GB2312" w:eastAsia="仿宋_GB2312" w:hAnsi="仿宋_GB2312" w:cs="仿宋_GB2312"/>
          <w:bCs/>
          <w:color w:val="000000" w:themeColor="text1"/>
          <w:sz w:val="32"/>
          <w:szCs w:val="32"/>
        </w:rPr>
        <w:t>涝</w:t>
      </w:r>
      <w:r>
        <w:rPr>
          <w:rFonts w:ascii="仿宋_GB2312" w:eastAsia="仿宋_GB2312" w:hAnsi="仿宋_GB2312" w:cs="仿宋_GB2312" w:hint="eastAsia"/>
          <w:bCs/>
          <w:color w:val="000000" w:themeColor="text1"/>
          <w:sz w:val="32"/>
          <w:szCs w:val="32"/>
        </w:rPr>
        <w:t>水行</w:t>
      </w:r>
      <w:r>
        <w:rPr>
          <w:rFonts w:ascii="仿宋_GB2312" w:eastAsia="仿宋_GB2312" w:hAnsi="仿宋_GB2312" w:cs="仿宋_GB2312"/>
          <w:bCs/>
          <w:color w:val="000000" w:themeColor="text1"/>
          <w:sz w:val="32"/>
          <w:szCs w:val="32"/>
        </w:rPr>
        <w:t>泄</w:t>
      </w:r>
      <w:r>
        <w:rPr>
          <w:rFonts w:ascii="仿宋_GB2312" w:eastAsia="仿宋_GB2312" w:hAnsi="仿宋_GB2312" w:cs="仿宋_GB2312" w:hint="eastAsia"/>
          <w:bCs/>
          <w:color w:val="000000" w:themeColor="text1"/>
          <w:sz w:val="32"/>
          <w:szCs w:val="32"/>
        </w:rPr>
        <w:t>通道等，以及具备雨水蓄排功能的地下调蓄设施和隧道等预留的空间。</w:t>
      </w:r>
    </w:p>
    <w:p w:rsidR="007B4818" w:rsidRDefault="00D73177">
      <w:pPr>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A.9城市体检评估</w:t>
      </w:r>
    </w:p>
    <w:p w:rsidR="007B4818" w:rsidRDefault="00D73177">
      <w:pPr>
        <w:widowControl/>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依据市级总规等国土空间规划，按照“一年一体检、五年一评估”，对城市发展体征及规划实施情况定期进行的分析和评价，是促进和保障国土空间规划有效实施的重要工具。</w:t>
      </w:r>
    </w:p>
    <w:p w:rsidR="007B4818" w:rsidRDefault="00D73177">
      <w:pPr>
        <w:widowControl/>
        <w:jc w:val="left"/>
        <w:rPr>
          <w:color w:val="000000" w:themeColor="text1"/>
        </w:rPr>
      </w:pPr>
      <w:r>
        <w:rPr>
          <w:color w:val="000000" w:themeColor="text1"/>
        </w:rPr>
        <w:br w:type="page"/>
      </w:r>
    </w:p>
    <w:p w:rsidR="007B4818" w:rsidRDefault="007B4818">
      <w:pPr>
        <w:rPr>
          <w:color w:val="000000" w:themeColor="text1"/>
        </w:rPr>
      </w:pPr>
    </w:p>
    <w:p w:rsidR="007B4818" w:rsidRDefault="00D73177">
      <w:pPr>
        <w:pStyle w:val="1"/>
        <w:numPr>
          <w:ilvl w:val="0"/>
          <w:numId w:val="0"/>
        </w:numPr>
        <w:spacing w:line="240" w:lineRule="auto"/>
        <w:ind w:left="425" w:hanging="425"/>
        <w:jc w:val="both"/>
        <w:rPr>
          <w:color w:val="000000" w:themeColor="text1"/>
          <w:szCs w:val="32"/>
        </w:rPr>
      </w:pPr>
      <w:bookmarkStart w:id="220" w:name="_Toc38876646"/>
      <w:bookmarkStart w:id="221" w:name="_Toc15612"/>
      <w:bookmarkStart w:id="222" w:name="_Toc3948"/>
      <w:bookmarkStart w:id="223" w:name="_Toc17973"/>
      <w:bookmarkStart w:id="224" w:name="_Toc16589"/>
      <w:bookmarkStart w:id="225" w:name="_Toc44611602"/>
      <w:bookmarkStart w:id="226" w:name="_Toc1931"/>
      <w:r>
        <w:rPr>
          <w:rFonts w:hint="eastAsia"/>
          <w:color w:val="000000" w:themeColor="text1"/>
          <w:szCs w:val="32"/>
        </w:rPr>
        <w:t>附录</w:t>
      </w:r>
      <w:r>
        <w:rPr>
          <w:color w:val="000000" w:themeColor="text1"/>
          <w:szCs w:val="32"/>
        </w:rPr>
        <w:t xml:space="preserve">B  </w:t>
      </w:r>
      <w:r>
        <w:rPr>
          <w:rFonts w:hint="eastAsia"/>
          <w:color w:val="000000" w:themeColor="text1"/>
          <w:szCs w:val="32"/>
        </w:rPr>
        <w:t>规划分区</w:t>
      </w:r>
      <w:bookmarkEnd w:id="220"/>
      <w:bookmarkEnd w:id="221"/>
      <w:bookmarkEnd w:id="222"/>
      <w:bookmarkEnd w:id="223"/>
      <w:bookmarkEnd w:id="224"/>
      <w:bookmarkEnd w:id="225"/>
      <w:bookmarkEnd w:id="226"/>
    </w:p>
    <w:p w:rsidR="007B4818" w:rsidRDefault="00D73177">
      <w:pPr>
        <w:spacing w:line="360" w:lineRule="auto"/>
        <w:ind w:firstLineChars="200" w:firstLine="643"/>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B.1一般规定</w:t>
      </w:r>
    </w:p>
    <w:p w:rsidR="007B4818" w:rsidRDefault="00D73177">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B.1.1规划分区应落实上位国土空间规划要求，为本行政区域国土空间保护开发做出综合部署和总体安排，应充分考虑生态环境保护、经济布局、人口分布、国土利用等因素。</w:t>
      </w:r>
    </w:p>
    <w:p w:rsidR="007B4818" w:rsidRDefault="00D73177">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B.1.2坚持陆海统筹、城乡统筹、地上地下空间统筹的原则，以国土空间的保护与保留、开发与利用两大功能属性作为规划分区的基本取向。</w:t>
      </w:r>
    </w:p>
    <w:p w:rsidR="007B4818" w:rsidRDefault="00D73177">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B.1.3规划分区划定应科学、简明、可操作，遵循全域全覆盖、不交叉、不重叠，并应符合下列基本规定：</w:t>
      </w:r>
    </w:p>
    <w:p w:rsidR="007B4818" w:rsidRDefault="00D73177">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color w:val="000000" w:themeColor="text1"/>
          <w:sz w:val="32"/>
          <w:szCs w:val="32"/>
        </w:rPr>
        <w:t>）</w:t>
      </w:r>
      <w:r>
        <w:rPr>
          <w:rFonts w:ascii="仿宋_GB2312" w:eastAsia="仿宋_GB2312" w:hAnsi="仿宋_GB2312" w:cs="仿宋_GB2312" w:hint="eastAsia"/>
          <w:color w:val="000000" w:themeColor="text1"/>
          <w:sz w:val="32"/>
          <w:szCs w:val="32"/>
        </w:rPr>
        <w:t>以主体功能定位为基础，体现规划意图，配套管控要求；</w:t>
      </w:r>
    </w:p>
    <w:p w:rsidR="007B4818" w:rsidRDefault="00D73177">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color w:val="000000" w:themeColor="text1"/>
          <w:sz w:val="32"/>
          <w:szCs w:val="32"/>
        </w:rPr>
        <w:t>）</w:t>
      </w:r>
      <w:r>
        <w:rPr>
          <w:rFonts w:ascii="仿宋_GB2312" w:eastAsia="仿宋_GB2312" w:hAnsi="仿宋_GB2312" w:cs="仿宋_GB2312" w:hint="eastAsia"/>
          <w:color w:val="000000" w:themeColor="text1"/>
          <w:sz w:val="32"/>
          <w:szCs w:val="32"/>
        </w:rPr>
        <w:t>当出现多重使用功能时，应突出主导功能，选择更有利于实现规划意图的规划分区类型；</w:t>
      </w:r>
    </w:p>
    <w:p w:rsidR="007B4818" w:rsidRDefault="00D73177">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color w:val="000000" w:themeColor="text1"/>
          <w:sz w:val="32"/>
          <w:szCs w:val="32"/>
        </w:rPr>
        <w:t>）如</w:t>
      </w:r>
      <w:r>
        <w:rPr>
          <w:rFonts w:ascii="仿宋_GB2312" w:eastAsia="仿宋_GB2312" w:hAnsi="仿宋_GB2312" w:cs="仿宋_GB2312" w:hint="eastAsia"/>
          <w:color w:val="000000" w:themeColor="text1"/>
          <w:sz w:val="32"/>
          <w:szCs w:val="32"/>
        </w:rPr>
        <w:t>市域内存在本指南未列出的特殊政策管控要求，可在规划分区建议的基础上，叠加历史文化保护、灾害风险防控等管控区域，形成复合控制区。</w:t>
      </w:r>
    </w:p>
    <w:p w:rsidR="007B4818" w:rsidRDefault="00D73177">
      <w:pPr>
        <w:spacing w:line="360" w:lineRule="auto"/>
        <w:ind w:firstLineChars="200" w:firstLine="643"/>
        <w:rPr>
          <w:rFonts w:ascii="仿宋_GB2312" w:eastAsia="仿宋_GB2312" w:hAnsi="仿宋_GB2312" w:cs="仿宋_GB2312"/>
          <w:b/>
          <w:color w:val="000000" w:themeColor="text1"/>
          <w:sz w:val="32"/>
          <w:szCs w:val="32"/>
        </w:rPr>
      </w:pPr>
      <w:bookmarkStart w:id="227" w:name="_Toc11940523"/>
      <w:r>
        <w:rPr>
          <w:rFonts w:ascii="仿宋_GB2312" w:eastAsia="仿宋_GB2312" w:hAnsi="仿宋_GB2312" w:cs="仿宋_GB2312" w:hint="eastAsia"/>
          <w:b/>
          <w:color w:val="000000" w:themeColor="text1"/>
          <w:sz w:val="32"/>
          <w:szCs w:val="32"/>
        </w:rPr>
        <w:t>B.2分区</w:t>
      </w:r>
      <w:bookmarkEnd w:id="227"/>
      <w:r>
        <w:rPr>
          <w:rFonts w:ascii="仿宋_GB2312" w:eastAsia="仿宋_GB2312" w:hAnsi="仿宋_GB2312" w:cs="仿宋_GB2312" w:hint="eastAsia"/>
          <w:b/>
          <w:color w:val="000000" w:themeColor="text1"/>
          <w:sz w:val="32"/>
          <w:szCs w:val="32"/>
        </w:rPr>
        <w:t>类型</w:t>
      </w:r>
    </w:p>
    <w:p w:rsidR="007B4818" w:rsidRDefault="00D73177">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规划分区分为一级规划分区和二级规划分区。一级规划分区包括以下7类：生态保护区、生态控制区、农田保护区，以及城镇发展区、乡村发展区、海洋发展区、矿产能源发展区。在城镇发展区、乡村发展区、海洋发展区分别细分为二级规划分区，各地可结合实际补充二级规划分区类型。规划分区类型和具体含义见下表。</w:t>
      </w:r>
    </w:p>
    <w:p w:rsidR="007B4818" w:rsidRDefault="00D73177">
      <w:pPr>
        <w:pStyle w:val="a4"/>
        <w:spacing w:line="40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表B.1规划分区建议</w:t>
      </w:r>
    </w:p>
    <w:tbl>
      <w:tblPr>
        <w:tblW w:w="85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543"/>
        <w:gridCol w:w="433"/>
        <w:gridCol w:w="1257"/>
        <w:gridCol w:w="5293"/>
      </w:tblGrid>
      <w:tr w:rsidR="007B4818">
        <w:trPr>
          <w:trHeight w:val="420"/>
        </w:trPr>
        <w:tc>
          <w:tcPr>
            <w:tcW w:w="1543" w:type="dxa"/>
            <w:shd w:val="clear" w:color="auto" w:fill="auto"/>
            <w:vAlign w:val="center"/>
          </w:tcPr>
          <w:p w:rsidR="007B4818" w:rsidRDefault="00D73177">
            <w:pPr>
              <w:widowControl/>
              <w:jc w:val="center"/>
              <w:textAlignment w:val="center"/>
              <w:rPr>
                <w:rFonts w:ascii="仿宋_GB2312" w:eastAsia="仿宋_GB2312" w:hAnsi="仿宋_GB2312" w:cs="仿宋_GB2312"/>
                <w:b/>
                <w:color w:val="000000" w:themeColor="text1"/>
                <w:kern w:val="0"/>
                <w:szCs w:val="21"/>
              </w:rPr>
            </w:pPr>
            <w:r>
              <w:rPr>
                <w:rFonts w:ascii="仿宋_GB2312" w:eastAsia="仿宋_GB2312" w:hAnsi="仿宋_GB2312" w:cs="仿宋_GB2312" w:hint="eastAsia"/>
                <w:b/>
                <w:color w:val="000000" w:themeColor="text1"/>
                <w:kern w:val="0"/>
                <w:szCs w:val="21"/>
              </w:rPr>
              <w:t>一级规划分区</w:t>
            </w:r>
          </w:p>
        </w:tc>
        <w:tc>
          <w:tcPr>
            <w:tcW w:w="1690" w:type="dxa"/>
            <w:gridSpan w:val="2"/>
            <w:shd w:val="clear" w:color="auto" w:fill="auto"/>
            <w:vAlign w:val="center"/>
          </w:tcPr>
          <w:p w:rsidR="007B4818" w:rsidRDefault="00D73177">
            <w:pPr>
              <w:jc w:val="center"/>
              <w:rPr>
                <w:rFonts w:ascii="仿宋_GB2312" w:eastAsia="仿宋_GB2312" w:hAnsi="仿宋_GB2312" w:cs="仿宋_GB2312"/>
                <w:b/>
                <w:color w:val="000000" w:themeColor="text1"/>
                <w:kern w:val="0"/>
                <w:szCs w:val="21"/>
              </w:rPr>
            </w:pPr>
            <w:r>
              <w:rPr>
                <w:rFonts w:ascii="仿宋_GB2312" w:eastAsia="仿宋_GB2312" w:hAnsi="仿宋_GB2312" w:cs="仿宋_GB2312" w:hint="eastAsia"/>
                <w:b/>
                <w:color w:val="000000" w:themeColor="text1"/>
                <w:kern w:val="0"/>
                <w:szCs w:val="21"/>
              </w:rPr>
              <w:t>二级规划分区</w:t>
            </w:r>
          </w:p>
        </w:tc>
        <w:tc>
          <w:tcPr>
            <w:tcW w:w="5293" w:type="dxa"/>
            <w:shd w:val="clear" w:color="auto" w:fill="auto"/>
            <w:vAlign w:val="center"/>
          </w:tcPr>
          <w:p w:rsidR="007B4818" w:rsidRDefault="00D73177">
            <w:pPr>
              <w:jc w:val="center"/>
              <w:rPr>
                <w:rFonts w:ascii="仿宋_GB2312" w:eastAsia="仿宋_GB2312" w:hAnsi="仿宋_GB2312" w:cs="仿宋_GB2312"/>
                <w:b/>
                <w:color w:val="000000" w:themeColor="text1"/>
                <w:kern w:val="0"/>
                <w:szCs w:val="21"/>
              </w:rPr>
            </w:pPr>
            <w:r>
              <w:rPr>
                <w:rFonts w:ascii="仿宋_GB2312" w:eastAsia="仿宋_GB2312" w:hAnsi="仿宋_GB2312" w:cs="仿宋_GB2312" w:hint="eastAsia"/>
                <w:b/>
                <w:color w:val="000000" w:themeColor="text1"/>
                <w:kern w:val="0"/>
                <w:szCs w:val="21"/>
              </w:rPr>
              <w:t>含义</w:t>
            </w:r>
          </w:p>
        </w:tc>
      </w:tr>
      <w:tr w:rsidR="007B4818">
        <w:trPr>
          <w:trHeight w:val="564"/>
        </w:trPr>
        <w:tc>
          <w:tcPr>
            <w:tcW w:w="1543" w:type="dxa"/>
            <w:tcBorders>
              <w:right w:val="single" w:sz="4" w:space="0" w:color="auto"/>
            </w:tcBorders>
            <w:shd w:val="clear" w:color="auto" w:fill="auto"/>
            <w:vAlign w:val="center"/>
          </w:tcPr>
          <w:p w:rsidR="007B4818" w:rsidRDefault="00D73177">
            <w:pPr>
              <w:widowControl/>
              <w:jc w:val="center"/>
              <w:textAlignment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kern w:val="0"/>
                <w:szCs w:val="21"/>
              </w:rPr>
              <w:t>生态保护区</w:t>
            </w:r>
          </w:p>
        </w:tc>
        <w:tc>
          <w:tcPr>
            <w:tcW w:w="1690" w:type="dxa"/>
            <w:gridSpan w:val="2"/>
          </w:tcPr>
          <w:p w:rsidR="007B4818" w:rsidRDefault="007B4818">
            <w:pPr>
              <w:widowControl/>
              <w:textAlignment w:val="center"/>
              <w:rPr>
                <w:rFonts w:ascii="仿宋_GB2312" w:eastAsia="仿宋_GB2312" w:hAnsi="仿宋_GB2312" w:cs="仿宋_GB2312"/>
                <w:color w:val="000000" w:themeColor="text1"/>
                <w:szCs w:val="21"/>
              </w:rPr>
            </w:pPr>
          </w:p>
        </w:tc>
        <w:tc>
          <w:tcPr>
            <w:tcW w:w="5293" w:type="dxa"/>
            <w:shd w:val="clear" w:color="auto" w:fill="auto"/>
            <w:vAlign w:val="center"/>
          </w:tcPr>
          <w:p w:rsidR="007B4818" w:rsidRDefault="00D73177">
            <w:pPr>
              <w:widowControl/>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szCs w:val="21"/>
              </w:rPr>
              <w:t>具有特殊重要生态功能或生态敏感脆弱、必须强制性严格保护的陆地和海洋自然区域，包括陆域生态保护红线、海洋生态保护红线集中划定的区域</w:t>
            </w:r>
          </w:p>
        </w:tc>
      </w:tr>
      <w:tr w:rsidR="007B4818">
        <w:trPr>
          <w:trHeight w:val="673"/>
        </w:trPr>
        <w:tc>
          <w:tcPr>
            <w:tcW w:w="1543" w:type="dxa"/>
            <w:tcBorders>
              <w:right w:val="nil"/>
            </w:tcBorders>
            <w:shd w:val="clear" w:color="auto" w:fill="auto"/>
            <w:vAlign w:val="center"/>
          </w:tcPr>
          <w:p w:rsidR="007B4818" w:rsidRDefault="00D73177">
            <w:pPr>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kern w:val="0"/>
                <w:szCs w:val="21"/>
              </w:rPr>
              <w:t>生态控制区</w:t>
            </w:r>
          </w:p>
        </w:tc>
        <w:tc>
          <w:tcPr>
            <w:tcW w:w="1690" w:type="dxa"/>
            <w:gridSpan w:val="2"/>
          </w:tcPr>
          <w:p w:rsidR="007B4818" w:rsidRDefault="007B4818">
            <w:pPr>
              <w:widowControl/>
              <w:textAlignment w:val="center"/>
              <w:rPr>
                <w:rFonts w:ascii="仿宋_GB2312" w:eastAsia="仿宋_GB2312" w:hAnsi="仿宋_GB2312" w:cs="仿宋_GB2312"/>
                <w:color w:val="000000" w:themeColor="text1"/>
                <w:kern w:val="0"/>
                <w:szCs w:val="21"/>
              </w:rPr>
            </w:pPr>
          </w:p>
        </w:tc>
        <w:tc>
          <w:tcPr>
            <w:tcW w:w="5293" w:type="dxa"/>
            <w:shd w:val="clear" w:color="auto" w:fill="auto"/>
            <w:vAlign w:val="center"/>
          </w:tcPr>
          <w:p w:rsidR="007B4818" w:rsidRDefault="00D73177">
            <w:pPr>
              <w:widowControl/>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生态保护红线外，需要予以保留原貌、强化生态保育和生态建设、限制开发建设的陆地和海洋自然区域</w:t>
            </w:r>
          </w:p>
        </w:tc>
      </w:tr>
      <w:tr w:rsidR="007B4818">
        <w:trPr>
          <w:trHeight w:val="664"/>
        </w:trPr>
        <w:tc>
          <w:tcPr>
            <w:tcW w:w="1543" w:type="dxa"/>
            <w:tcBorders>
              <w:right w:val="single" w:sz="4" w:space="0" w:color="auto"/>
            </w:tcBorders>
            <w:shd w:val="clear" w:color="auto" w:fill="auto"/>
            <w:vAlign w:val="center"/>
          </w:tcPr>
          <w:p w:rsidR="007B4818" w:rsidRDefault="00D73177">
            <w:pPr>
              <w:widowControl/>
              <w:jc w:val="center"/>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农田保护区</w:t>
            </w:r>
          </w:p>
        </w:tc>
        <w:tc>
          <w:tcPr>
            <w:tcW w:w="1690" w:type="dxa"/>
            <w:gridSpan w:val="2"/>
          </w:tcPr>
          <w:p w:rsidR="007B4818" w:rsidRDefault="007B4818">
            <w:pPr>
              <w:widowControl/>
              <w:textAlignment w:val="center"/>
              <w:rPr>
                <w:rFonts w:ascii="仿宋_GB2312" w:eastAsia="仿宋_GB2312" w:hAnsi="仿宋_GB2312" w:cs="仿宋_GB2312"/>
                <w:color w:val="000000" w:themeColor="text1"/>
                <w:szCs w:val="21"/>
              </w:rPr>
            </w:pPr>
          </w:p>
        </w:tc>
        <w:tc>
          <w:tcPr>
            <w:tcW w:w="5293" w:type="dxa"/>
            <w:shd w:val="clear" w:color="auto" w:fill="auto"/>
            <w:vAlign w:val="center"/>
          </w:tcPr>
          <w:p w:rsidR="007B4818" w:rsidRDefault="00D73177">
            <w:pPr>
              <w:widowControl/>
              <w:textAlignment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永久基本农田相对集中需严格保护的区域</w:t>
            </w:r>
          </w:p>
        </w:tc>
      </w:tr>
      <w:tr w:rsidR="007B4818">
        <w:trPr>
          <w:trHeight w:val="663"/>
        </w:trPr>
        <w:tc>
          <w:tcPr>
            <w:tcW w:w="1543" w:type="dxa"/>
            <w:vMerge w:val="restart"/>
            <w:tcBorders>
              <w:right w:val="single" w:sz="4" w:space="0" w:color="auto"/>
            </w:tcBorders>
            <w:shd w:val="clear" w:color="auto" w:fill="auto"/>
            <w:vAlign w:val="center"/>
          </w:tcPr>
          <w:p w:rsidR="007B4818" w:rsidRDefault="00D73177">
            <w:pPr>
              <w:widowControl/>
              <w:jc w:val="center"/>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城镇发展区</w:t>
            </w:r>
          </w:p>
        </w:tc>
        <w:tc>
          <w:tcPr>
            <w:tcW w:w="1690" w:type="dxa"/>
            <w:gridSpan w:val="2"/>
          </w:tcPr>
          <w:p w:rsidR="007B4818" w:rsidRDefault="007B4818">
            <w:pPr>
              <w:widowControl/>
              <w:textAlignment w:val="center"/>
              <w:rPr>
                <w:rFonts w:ascii="仿宋_GB2312" w:eastAsia="仿宋_GB2312" w:hAnsi="仿宋_GB2312" w:cs="仿宋_GB2312"/>
                <w:color w:val="000000" w:themeColor="text1"/>
                <w:kern w:val="0"/>
                <w:szCs w:val="21"/>
              </w:rPr>
            </w:pPr>
          </w:p>
        </w:tc>
        <w:tc>
          <w:tcPr>
            <w:tcW w:w="5293" w:type="dxa"/>
            <w:shd w:val="clear" w:color="auto" w:fill="auto"/>
            <w:vAlign w:val="center"/>
          </w:tcPr>
          <w:p w:rsidR="007B4818" w:rsidRDefault="00D73177">
            <w:pPr>
              <w:widowControl/>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城镇开发边界围合的范围，是城镇集中开发建设并可满足城镇生产、生活需要的区域</w:t>
            </w:r>
          </w:p>
        </w:tc>
      </w:tr>
      <w:tr w:rsidR="007B4818">
        <w:trPr>
          <w:trHeight w:val="663"/>
        </w:trPr>
        <w:tc>
          <w:tcPr>
            <w:tcW w:w="1543" w:type="dxa"/>
            <w:vMerge/>
            <w:tcBorders>
              <w:right w:val="single" w:sz="4" w:space="0" w:color="auto"/>
            </w:tcBorders>
            <w:shd w:val="clear" w:color="auto" w:fill="auto"/>
            <w:vAlign w:val="center"/>
          </w:tcPr>
          <w:p w:rsidR="007B4818" w:rsidRDefault="007B4818">
            <w:pPr>
              <w:widowControl/>
              <w:jc w:val="center"/>
              <w:textAlignment w:val="center"/>
              <w:rPr>
                <w:rFonts w:ascii="仿宋_GB2312" w:eastAsia="仿宋_GB2312" w:hAnsi="仿宋_GB2312" w:cs="仿宋_GB2312"/>
                <w:color w:val="000000" w:themeColor="text1"/>
                <w:kern w:val="0"/>
                <w:szCs w:val="21"/>
              </w:rPr>
            </w:pPr>
          </w:p>
        </w:tc>
        <w:tc>
          <w:tcPr>
            <w:tcW w:w="433" w:type="dxa"/>
            <w:vMerge w:val="restart"/>
            <w:vAlign w:val="center"/>
          </w:tcPr>
          <w:p w:rsidR="007B4818" w:rsidRDefault="00D73177">
            <w:pPr>
              <w:widowControl/>
              <w:jc w:val="center"/>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城镇集中建设区</w:t>
            </w:r>
          </w:p>
        </w:tc>
        <w:tc>
          <w:tcPr>
            <w:tcW w:w="1257" w:type="dxa"/>
            <w:vAlign w:val="center"/>
          </w:tcPr>
          <w:p w:rsidR="007B4818" w:rsidRDefault="00D73177">
            <w:pPr>
              <w:widowControl/>
              <w:jc w:val="center"/>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居住生活区</w:t>
            </w:r>
          </w:p>
        </w:tc>
        <w:tc>
          <w:tcPr>
            <w:tcW w:w="5293" w:type="dxa"/>
            <w:shd w:val="clear" w:color="auto" w:fill="auto"/>
            <w:vAlign w:val="center"/>
          </w:tcPr>
          <w:p w:rsidR="007B4818" w:rsidRDefault="00D73177">
            <w:pPr>
              <w:widowControl/>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以住宅建筑和居住配套设施为主要功能导向的区域</w:t>
            </w:r>
          </w:p>
        </w:tc>
      </w:tr>
      <w:tr w:rsidR="007B4818">
        <w:trPr>
          <w:trHeight w:val="663"/>
        </w:trPr>
        <w:tc>
          <w:tcPr>
            <w:tcW w:w="1543" w:type="dxa"/>
            <w:vMerge/>
            <w:tcBorders>
              <w:right w:val="single" w:sz="4" w:space="0" w:color="auto"/>
            </w:tcBorders>
            <w:shd w:val="clear" w:color="auto" w:fill="auto"/>
            <w:vAlign w:val="center"/>
          </w:tcPr>
          <w:p w:rsidR="007B4818" w:rsidRDefault="007B4818">
            <w:pPr>
              <w:widowControl/>
              <w:jc w:val="center"/>
              <w:textAlignment w:val="center"/>
              <w:rPr>
                <w:rFonts w:ascii="仿宋_GB2312" w:eastAsia="仿宋_GB2312" w:hAnsi="仿宋_GB2312" w:cs="仿宋_GB2312"/>
                <w:color w:val="000000" w:themeColor="text1"/>
                <w:kern w:val="0"/>
                <w:szCs w:val="21"/>
              </w:rPr>
            </w:pPr>
          </w:p>
        </w:tc>
        <w:tc>
          <w:tcPr>
            <w:tcW w:w="433" w:type="dxa"/>
            <w:vMerge/>
            <w:vAlign w:val="center"/>
          </w:tcPr>
          <w:p w:rsidR="007B4818" w:rsidRDefault="007B4818">
            <w:pPr>
              <w:widowControl/>
              <w:textAlignment w:val="center"/>
              <w:rPr>
                <w:rFonts w:ascii="仿宋_GB2312" w:eastAsia="仿宋_GB2312" w:hAnsi="仿宋_GB2312" w:cs="仿宋_GB2312"/>
                <w:color w:val="000000" w:themeColor="text1"/>
                <w:kern w:val="0"/>
                <w:szCs w:val="21"/>
              </w:rPr>
            </w:pPr>
          </w:p>
        </w:tc>
        <w:tc>
          <w:tcPr>
            <w:tcW w:w="1257" w:type="dxa"/>
            <w:vAlign w:val="center"/>
          </w:tcPr>
          <w:p w:rsidR="007B4818" w:rsidRDefault="00D73177">
            <w:pPr>
              <w:widowControl/>
              <w:jc w:val="center"/>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综合服务区</w:t>
            </w:r>
          </w:p>
        </w:tc>
        <w:tc>
          <w:tcPr>
            <w:tcW w:w="5293" w:type="dxa"/>
            <w:shd w:val="clear" w:color="auto" w:fill="auto"/>
            <w:vAlign w:val="center"/>
          </w:tcPr>
          <w:p w:rsidR="007B4818" w:rsidRDefault="00D73177">
            <w:pP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以提供行政办公、文化、教育、医疗以及综合商业等服务为主要功能导向的区域</w:t>
            </w:r>
          </w:p>
        </w:tc>
      </w:tr>
      <w:tr w:rsidR="007B4818">
        <w:trPr>
          <w:trHeight w:val="663"/>
        </w:trPr>
        <w:tc>
          <w:tcPr>
            <w:tcW w:w="1543" w:type="dxa"/>
            <w:vMerge/>
            <w:tcBorders>
              <w:right w:val="single" w:sz="4" w:space="0" w:color="auto"/>
            </w:tcBorders>
            <w:shd w:val="clear" w:color="auto" w:fill="auto"/>
            <w:vAlign w:val="center"/>
          </w:tcPr>
          <w:p w:rsidR="007B4818" w:rsidRDefault="007B4818">
            <w:pPr>
              <w:widowControl/>
              <w:jc w:val="center"/>
              <w:textAlignment w:val="center"/>
              <w:rPr>
                <w:rFonts w:ascii="仿宋_GB2312" w:eastAsia="仿宋_GB2312" w:hAnsi="仿宋_GB2312" w:cs="仿宋_GB2312"/>
                <w:color w:val="000000" w:themeColor="text1"/>
                <w:kern w:val="0"/>
                <w:szCs w:val="21"/>
              </w:rPr>
            </w:pPr>
          </w:p>
        </w:tc>
        <w:tc>
          <w:tcPr>
            <w:tcW w:w="433" w:type="dxa"/>
            <w:vMerge/>
            <w:vAlign w:val="center"/>
          </w:tcPr>
          <w:p w:rsidR="007B4818" w:rsidRDefault="007B4818">
            <w:pPr>
              <w:widowControl/>
              <w:textAlignment w:val="center"/>
              <w:rPr>
                <w:rFonts w:ascii="仿宋_GB2312" w:eastAsia="仿宋_GB2312" w:hAnsi="仿宋_GB2312" w:cs="仿宋_GB2312"/>
                <w:color w:val="000000" w:themeColor="text1"/>
                <w:kern w:val="0"/>
                <w:szCs w:val="21"/>
              </w:rPr>
            </w:pPr>
          </w:p>
        </w:tc>
        <w:tc>
          <w:tcPr>
            <w:tcW w:w="1257" w:type="dxa"/>
            <w:vAlign w:val="center"/>
          </w:tcPr>
          <w:p w:rsidR="007B4818" w:rsidRDefault="00D73177">
            <w:pPr>
              <w:widowControl/>
              <w:jc w:val="center"/>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商业商务区</w:t>
            </w:r>
          </w:p>
        </w:tc>
        <w:tc>
          <w:tcPr>
            <w:tcW w:w="5293" w:type="dxa"/>
            <w:shd w:val="clear" w:color="auto" w:fill="auto"/>
            <w:vAlign w:val="center"/>
          </w:tcPr>
          <w:p w:rsidR="007B4818" w:rsidRDefault="00D73177">
            <w:pPr>
              <w:widowControl/>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以提供商业、商务办公等就业岗位为主要功能导向的区域</w:t>
            </w:r>
          </w:p>
        </w:tc>
      </w:tr>
      <w:tr w:rsidR="007B4818">
        <w:trPr>
          <w:trHeight w:val="663"/>
        </w:trPr>
        <w:tc>
          <w:tcPr>
            <w:tcW w:w="1543" w:type="dxa"/>
            <w:vMerge/>
            <w:tcBorders>
              <w:right w:val="single" w:sz="4" w:space="0" w:color="auto"/>
            </w:tcBorders>
            <w:shd w:val="clear" w:color="auto" w:fill="auto"/>
            <w:vAlign w:val="center"/>
          </w:tcPr>
          <w:p w:rsidR="007B4818" w:rsidRDefault="007B4818">
            <w:pPr>
              <w:widowControl/>
              <w:jc w:val="center"/>
              <w:textAlignment w:val="center"/>
              <w:rPr>
                <w:rFonts w:ascii="仿宋_GB2312" w:eastAsia="仿宋_GB2312" w:hAnsi="仿宋_GB2312" w:cs="仿宋_GB2312"/>
                <w:color w:val="000000" w:themeColor="text1"/>
                <w:kern w:val="0"/>
                <w:szCs w:val="21"/>
              </w:rPr>
            </w:pPr>
          </w:p>
        </w:tc>
        <w:tc>
          <w:tcPr>
            <w:tcW w:w="433" w:type="dxa"/>
            <w:vMerge/>
            <w:vAlign w:val="center"/>
          </w:tcPr>
          <w:p w:rsidR="007B4818" w:rsidRDefault="007B4818">
            <w:pPr>
              <w:widowControl/>
              <w:textAlignment w:val="center"/>
              <w:rPr>
                <w:rFonts w:ascii="仿宋_GB2312" w:eastAsia="仿宋_GB2312" w:hAnsi="仿宋_GB2312" w:cs="仿宋_GB2312"/>
                <w:color w:val="000000" w:themeColor="text1"/>
                <w:kern w:val="0"/>
                <w:szCs w:val="21"/>
              </w:rPr>
            </w:pPr>
          </w:p>
        </w:tc>
        <w:tc>
          <w:tcPr>
            <w:tcW w:w="1257" w:type="dxa"/>
            <w:vAlign w:val="center"/>
          </w:tcPr>
          <w:p w:rsidR="007B4818" w:rsidRDefault="00D73177">
            <w:pPr>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工业发展区</w:t>
            </w:r>
          </w:p>
        </w:tc>
        <w:tc>
          <w:tcPr>
            <w:tcW w:w="5293" w:type="dxa"/>
            <w:shd w:val="clear" w:color="auto" w:fill="auto"/>
            <w:vAlign w:val="center"/>
          </w:tcPr>
          <w:p w:rsidR="007B4818" w:rsidRDefault="00D73177">
            <w:pPr>
              <w:widowControl/>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以工业及其配套产业为主要功能导向的区域</w:t>
            </w:r>
          </w:p>
        </w:tc>
      </w:tr>
      <w:tr w:rsidR="007B4818">
        <w:trPr>
          <w:trHeight w:val="663"/>
        </w:trPr>
        <w:tc>
          <w:tcPr>
            <w:tcW w:w="1543" w:type="dxa"/>
            <w:vMerge/>
            <w:tcBorders>
              <w:right w:val="single" w:sz="4" w:space="0" w:color="auto"/>
            </w:tcBorders>
            <w:shd w:val="clear" w:color="auto" w:fill="auto"/>
            <w:vAlign w:val="center"/>
          </w:tcPr>
          <w:p w:rsidR="007B4818" w:rsidRDefault="007B4818">
            <w:pPr>
              <w:widowControl/>
              <w:jc w:val="center"/>
              <w:textAlignment w:val="center"/>
              <w:rPr>
                <w:rFonts w:ascii="仿宋_GB2312" w:eastAsia="仿宋_GB2312" w:hAnsi="仿宋_GB2312" w:cs="仿宋_GB2312"/>
                <w:color w:val="000000" w:themeColor="text1"/>
                <w:kern w:val="0"/>
                <w:szCs w:val="21"/>
              </w:rPr>
            </w:pPr>
          </w:p>
        </w:tc>
        <w:tc>
          <w:tcPr>
            <w:tcW w:w="433" w:type="dxa"/>
            <w:vMerge/>
            <w:vAlign w:val="center"/>
          </w:tcPr>
          <w:p w:rsidR="007B4818" w:rsidRDefault="007B4818">
            <w:pPr>
              <w:widowControl/>
              <w:textAlignment w:val="center"/>
              <w:rPr>
                <w:rFonts w:ascii="仿宋_GB2312" w:eastAsia="仿宋_GB2312" w:hAnsi="仿宋_GB2312" w:cs="仿宋_GB2312"/>
                <w:color w:val="000000" w:themeColor="text1"/>
                <w:kern w:val="0"/>
                <w:szCs w:val="21"/>
              </w:rPr>
            </w:pPr>
          </w:p>
        </w:tc>
        <w:tc>
          <w:tcPr>
            <w:tcW w:w="1257" w:type="dxa"/>
            <w:vAlign w:val="center"/>
          </w:tcPr>
          <w:p w:rsidR="007B4818" w:rsidRDefault="00D73177">
            <w:pPr>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物流仓储区</w:t>
            </w:r>
          </w:p>
        </w:tc>
        <w:tc>
          <w:tcPr>
            <w:tcW w:w="5293" w:type="dxa"/>
            <w:shd w:val="clear" w:color="auto" w:fill="auto"/>
            <w:vAlign w:val="center"/>
          </w:tcPr>
          <w:p w:rsidR="007B4818" w:rsidRDefault="00D73177">
            <w:pPr>
              <w:widowControl/>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以物流仓储及其配套产业为主要功能导向的区域</w:t>
            </w:r>
          </w:p>
        </w:tc>
      </w:tr>
      <w:tr w:rsidR="007B4818">
        <w:trPr>
          <w:trHeight w:val="663"/>
        </w:trPr>
        <w:tc>
          <w:tcPr>
            <w:tcW w:w="1543" w:type="dxa"/>
            <w:vMerge/>
            <w:tcBorders>
              <w:right w:val="single" w:sz="4" w:space="0" w:color="auto"/>
            </w:tcBorders>
            <w:shd w:val="clear" w:color="auto" w:fill="auto"/>
            <w:vAlign w:val="center"/>
          </w:tcPr>
          <w:p w:rsidR="007B4818" w:rsidRDefault="007B4818">
            <w:pPr>
              <w:widowControl/>
              <w:jc w:val="center"/>
              <w:textAlignment w:val="center"/>
              <w:rPr>
                <w:rFonts w:ascii="仿宋_GB2312" w:eastAsia="仿宋_GB2312" w:hAnsi="仿宋_GB2312" w:cs="仿宋_GB2312"/>
                <w:color w:val="000000" w:themeColor="text1"/>
                <w:kern w:val="0"/>
                <w:szCs w:val="21"/>
              </w:rPr>
            </w:pPr>
          </w:p>
        </w:tc>
        <w:tc>
          <w:tcPr>
            <w:tcW w:w="433" w:type="dxa"/>
            <w:vMerge/>
            <w:vAlign w:val="center"/>
          </w:tcPr>
          <w:p w:rsidR="007B4818" w:rsidRDefault="007B4818">
            <w:pPr>
              <w:widowControl/>
              <w:textAlignment w:val="center"/>
              <w:rPr>
                <w:rFonts w:ascii="仿宋_GB2312" w:eastAsia="仿宋_GB2312" w:hAnsi="仿宋_GB2312" w:cs="仿宋_GB2312"/>
                <w:color w:val="000000" w:themeColor="text1"/>
                <w:kern w:val="0"/>
                <w:szCs w:val="21"/>
              </w:rPr>
            </w:pPr>
          </w:p>
        </w:tc>
        <w:tc>
          <w:tcPr>
            <w:tcW w:w="1257" w:type="dxa"/>
            <w:vAlign w:val="center"/>
          </w:tcPr>
          <w:p w:rsidR="007B4818" w:rsidRDefault="00D73177">
            <w:pPr>
              <w:widowControl/>
              <w:jc w:val="center"/>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绿地休闲区</w:t>
            </w:r>
          </w:p>
        </w:tc>
        <w:tc>
          <w:tcPr>
            <w:tcW w:w="5293" w:type="dxa"/>
            <w:shd w:val="clear" w:color="auto" w:fill="auto"/>
            <w:vAlign w:val="center"/>
          </w:tcPr>
          <w:p w:rsidR="007B4818" w:rsidRDefault="00D73177">
            <w:pP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以公园绿地、广场用地、滨水开敞空间、防护绿地等为主要功能导向的区域</w:t>
            </w:r>
          </w:p>
        </w:tc>
      </w:tr>
      <w:tr w:rsidR="007B4818">
        <w:trPr>
          <w:trHeight w:val="663"/>
        </w:trPr>
        <w:tc>
          <w:tcPr>
            <w:tcW w:w="1543" w:type="dxa"/>
            <w:vMerge/>
            <w:tcBorders>
              <w:right w:val="single" w:sz="4" w:space="0" w:color="auto"/>
            </w:tcBorders>
            <w:shd w:val="clear" w:color="auto" w:fill="auto"/>
            <w:vAlign w:val="center"/>
          </w:tcPr>
          <w:p w:rsidR="007B4818" w:rsidRDefault="007B4818">
            <w:pPr>
              <w:widowControl/>
              <w:jc w:val="center"/>
              <w:textAlignment w:val="center"/>
              <w:rPr>
                <w:rFonts w:ascii="仿宋_GB2312" w:eastAsia="仿宋_GB2312" w:hAnsi="仿宋_GB2312" w:cs="仿宋_GB2312"/>
                <w:color w:val="000000" w:themeColor="text1"/>
                <w:kern w:val="0"/>
                <w:szCs w:val="21"/>
              </w:rPr>
            </w:pPr>
          </w:p>
        </w:tc>
        <w:tc>
          <w:tcPr>
            <w:tcW w:w="433" w:type="dxa"/>
            <w:vMerge/>
            <w:vAlign w:val="center"/>
          </w:tcPr>
          <w:p w:rsidR="007B4818" w:rsidRDefault="007B4818">
            <w:pPr>
              <w:widowControl/>
              <w:textAlignment w:val="center"/>
              <w:rPr>
                <w:rFonts w:ascii="仿宋_GB2312" w:eastAsia="仿宋_GB2312" w:hAnsi="仿宋_GB2312" w:cs="仿宋_GB2312"/>
                <w:color w:val="000000" w:themeColor="text1"/>
                <w:kern w:val="0"/>
                <w:szCs w:val="21"/>
              </w:rPr>
            </w:pPr>
          </w:p>
        </w:tc>
        <w:tc>
          <w:tcPr>
            <w:tcW w:w="1257" w:type="dxa"/>
            <w:vAlign w:val="center"/>
          </w:tcPr>
          <w:p w:rsidR="007B4818" w:rsidRDefault="00D73177">
            <w:pPr>
              <w:widowControl/>
              <w:jc w:val="center"/>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交通枢纽区</w:t>
            </w:r>
          </w:p>
        </w:tc>
        <w:tc>
          <w:tcPr>
            <w:tcW w:w="5293" w:type="dxa"/>
            <w:shd w:val="clear" w:color="auto" w:fill="auto"/>
            <w:vAlign w:val="center"/>
          </w:tcPr>
          <w:p w:rsidR="007B4818" w:rsidRDefault="00D73177">
            <w:pP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以机场、港口、铁路客货运站等大型交通设施为主要功能导向的区域</w:t>
            </w:r>
          </w:p>
        </w:tc>
      </w:tr>
      <w:tr w:rsidR="007B4818">
        <w:trPr>
          <w:trHeight w:val="663"/>
        </w:trPr>
        <w:tc>
          <w:tcPr>
            <w:tcW w:w="1543" w:type="dxa"/>
            <w:vMerge/>
            <w:tcBorders>
              <w:right w:val="single" w:sz="4" w:space="0" w:color="auto"/>
            </w:tcBorders>
            <w:shd w:val="clear" w:color="auto" w:fill="auto"/>
            <w:vAlign w:val="center"/>
          </w:tcPr>
          <w:p w:rsidR="007B4818" w:rsidRDefault="007B4818">
            <w:pPr>
              <w:widowControl/>
              <w:jc w:val="center"/>
              <w:textAlignment w:val="center"/>
              <w:rPr>
                <w:rFonts w:ascii="仿宋_GB2312" w:eastAsia="仿宋_GB2312" w:hAnsi="仿宋_GB2312" w:cs="仿宋_GB2312"/>
                <w:color w:val="000000" w:themeColor="text1"/>
                <w:kern w:val="0"/>
                <w:szCs w:val="21"/>
              </w:rPr>
            </w:pPr>
          </w:p>
        </w:tc>
        <w:tc>
          <w:tcPr>
            <w:tcW w:w="433" w:type="dxa"/>
            <w:vMerge/>
            <w:vAlign w:val="center"/>
          </w:tcPr>
          <w:p w:rsidR="007B4818" w:rsidRDefault="007B4818">
            <w:pPr>
              <w:widowControl/>
              <w:textAlignment w:val="center"/>
              <w:rPr>
                <w:rFonts w:ascii="仿宋_GB2312" w:eastAsia="仿宋_GB2312" w:hAnsi="仿宋_GB2312" w:cs="仿宋_GB2312"/>
                <w:color w:val="000000" w:themeColor="text1"/>
                <w:kern w:val="0"/>
                <w:szCs w:val="21"/>
              </w:rPr>
            </w:pPr>
          </w:p>
        </w:tc>
        <w:tc>
          <w:tcPr>
            <w:tcW w:w="1257" w:type="dxa"/>
            <w:vAlign w:val="center"/>
          </w:tcPr>
          <w:p w:rsidR="007B4818" w:rsidRDefault="00D73177">
            <w:pPr>
              <w:widowControl/>
              <w:jc w:val="center"/>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战略预留区</w:t>
            </w:r>
          </w:p>
        </w:tc>
        <w:tc>
          <w:tcPr>
            <w:tcW w:w="5293" w:type="dxa"/>
            <w:shd w:val="clear" w:color="auto" w:fill="auto"/>
            <w:vAlign w:val="center"/>
          </w:tcPr>
          <w:p w:rsidR="007B4818" w:rsidRDefault="00D73177">
            <w:pPr>
              <w:widowControl/>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在城镇集中建设区中，为城镇重大战略性功能控制的留白区域</w:t>
            </w:r>
          </w:p>
        </w:tc>
      </w:tr>
      <w:tr w:rsidR="007B4818">
        <w:trPr>
          <w:trHeight w:val="663"/>
        </w:trPr>
        <w:tc>
          <w:tcPr>
            <w:tcW w:w="1543" w:type="dxa"/>
            <w:vMerge/>
            <w:tcBorders>
              <w:right w:val="single" w:sz="4" w:space="0" w:color="auto"/>
            </w:tcBorders>
            <w:shd w:val="clear" w:color="auto" w:fill="auto"/>
            <w:vAlign w:val="center"/>
          </w:tcPr>
          <w:p w:rsidR="007B4818" w:rsidRDefault="007B4818">
            <w:pPr>
              <w:widowControl/>
              <w:jc w:val="center"/>
              <w:textAlignment w:val="center"/>
              <w:rPr>
                <w:rFonts w:ascii="仿宋_GB2312" w:eastAsia="仿宋_GB2312" w:hAnsi="仿宋_GB2312" w:cs="仿宋_GB2312"/>
                <w:color w:val="000000" w:themeColor="text1"/>
                <w:kern w:val="0"/>
                <w:szCs w:val="21"/>
              </w:rPr>
            </w:pPr>
          </w:p>
        </w:tc>
        <w:tc>
          <w:tcPr>
            <w:tcW w:w="1690" w:type="dxa"/>
            <w:gridSpan w:val="2"/>
            <w:vAlign w:val="center"/>
          </w:tcPr>
          <w:p w:rsidR="007B4818" w:rsidRDefault="00D73177">
            <w:pPr>
              <w:widowControl/>
              <w:jc w:val="center"/>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城镇弹性发展区</w:t>
            </w:r>
          </w:p>
        </w:tc>
        <w:tc>
          <w:tcPr>
            <w:tcW w:w="5293" w:type="dxa"/>
            <w:shd w:val="clear" w:color="auto" w:fill="auto"/>
            <w:vAlign w:val="center"/>
          </w:tcPr>
          <w:p w:rsidR="007B4818" w:rsidRDefault="00D73177">
            <w:pPr>
              <w:widowControl/>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为应对城镇发展的不确定性，在满足特定条件下方可进行城镇开发和集中建设的区域</w:t>
            </w:r>
          </w:p>
        </w:tc>
      </w:tr>
      <w:tr w:rsidR="007B4818">
        <w:trPr>
          <w:trHeight w:val="663"/>
        </w:trPr>
        <w:tc>
          <w:tcPr>
            <w:tcW w:w="1543" w:type="dxa"/>
            <w:vMerge/>
            <w:tcBorders>
              <w:right w:val="single" w:sz="4" w:space="0" w:color="auto"/>
            </w:tcBorders>
            <w:shd w:val="clear" w:color="auto" w:fill="auto"/>
            <w:vAlign w:val="center"/>
          </w:tcPr>
          <w:p w:rsidR="007B4818" w:rsidRDefault="007B4818">
            <w:pPr>
              <w:widowControl/>
              <w:jc w:val="center"/>
              <w:textAlignment w:val="center"/>
              <w:rPr>
                <w:rFonts w:ascii="仿宋_GB2312" w:eastAsia="仿宋_GB2312" w:hAnsi="仿宋_GB2312" w:cs="仿宋_GB2312"/>
                <w:color w:val="000000" w:themeColor="text1"/>
                <w:kern w:val="0"/>
                <w:szCs w:val="21"/>
              </w:rPr>
            </w:pPr>
          </w:p>
        </w:tc>
        <w:tc>
          <w:tcPr>
            <w:tcW w:w="1690" w:type="dxa"/>
            <w:gridSpan w:val="2"/>
            <w:vAlign w:val="center"/>
          </w:tcPr>
          <w:p w:rsidR="007B4818" w:rsidRDefault="00D73177">
            <w:pPr>
              <w:widowControl/>
              <w:jc w:val="center"/>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特别用途区</w:t>
            </w:r>
          </w:p>
        </w:tc>
        <w:tc>
          <w:tcPr>
            <w:tcW w:w="5293" w:type="dxa"/>
            <w:shd w:val="clear" w:color="auto" w:fill="auto"/>
            <w:vAlign w:val="center"/>
          </w:tcPr>
          <w:p w:rsidR="007B4818" w:rsidRDefault="00D73177">
            <w:pPr>
              <w:widowControl/>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为完善城镇功能，提升人居环境品质，保持城镇开发边界的完整性，根据规划管理需划入开发边界内的重点地区，主要包括与城镇关联密切的生态涵养、休闲游憩、防护隔离、自然和历史文化保护等区域</w:t>
            </w:r>
          </w:p>
        </w:tc>
      </w:tr>
      <w:tr w:rsidR="007B4818">
        <w:trPr>
          <w:trHeight w:val="684"/>
        </w:trPr>
        <w:tc>
          <w:tcPr>
            <w:tcW w:w="1543" w:type="dxa"/>
            <w:vMerge w:val="restart"/>
            <w:tcBorders>
              <w:right w:val="nil"/>
            </w:tcBorders>
            <w:shd w:val="clear" w:color="auto" w:fill="auto"/>
            <w:vAlign w:val="center"/>
          </w:tcPr>
          <w:p w:rsidR="007B4818" w:rsidRDefault="00D73177">
            <w:pPr>
              <w:widowControl/>
              <w:jc w:val="center"/>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乡村发展区</w:t>
            </w:r>
          </w:p>
        </w:tc>
        <w:tc>
          <w:tcPr>
            <w:tcW w:w="1690" w:type="dxa"/>
            <w:gridSpan w:val="2"/>
          </w:tcPr>
          <w:p w:rsidR="007B4818" w:rsidRDefault="007B4818">
            <w:pPr>
              <w:widowControl/>
              <w:textAlignment w:val="center"/>
              <w:rPr>
                <w:rFonts w:ascii="仿宋_GB2312" w:eastAsia="仿宋_GB2312" w:hAnsi="仿宋_GB2312" w:cs="仿宋_GB2312"/>
                <w:color w:val="000000" w:themeColor="text1"/>
                <w:kern w:val="0"/>
                <w:szCs w:val="21"/>
              </w:rPr>
            </w:pPr>
          </w:p>
        </w:tc>
        <w:tc>
          <w:tcPr>
            <w:tcW w:w="5293" w:type="dxa"/>
            <w:shd w:val="clear" w:color="auto" w:fill="auto"/>
            <w:vAlign w:val="center"/>
          </w:tcPr>
          <w:p w:rsidR="007B4818" w:rsidRDefault="00D73177">
            <w:pPr>
              <w:widowControl/>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农田保护区外，为满足农林牧渔等农业发展以及农民集中生活和生产配套为主的区域</w:t>
            </w:r>
          </w:p>
        </w:tc>
      </w:tr>
      <w:tr w:rsidR="007B4818">
        <w:trPr>
          <w:trHeight w:val="684"/>
        </w:trPr>
        <w:tc>
          <w:tcPr>
            <w:tcW w:w="1543" w:type="dxa"/>
            <w:vMerge/>
            <w:tcBorders>
              <w:right w:val="nil"/>
            </w:tcBorders>
            <w:shd w:val="clear" w:color="auto" w:fill="auto"/>
            <w:vAlign w:val="center"/>
          </w:tcPr>
          <w:p w:rsidR="007B4818" w:rsidRDefault="007B4818">
            <w:pPr>
              <w:widowControl/>
              <w:jc w:val="center"/>
              <w:textAlignment w:val="center"/>
              <w:rPr>
                <w:rFonts w:ascii="仿宋_GB2312" w:eastAsia="仿宋_GB2312" w:hAnsi="仿宋_GB2312" w:cs="仿宋_GB2312"/>
                <w:color w:val="000000" w:themeColor="text1"/>
                <w:kern w:val="0"/>
                <w:szCs w:val="21"/>
              </w:rPr>
            </w:pPr>
          </w:p>
        </w:tc>
        <w:tc>
          <w:tcPr>
            <w:tcW w:w="1690" w:type="dxa"/>
            <w:gridSpan w:val="2"/>
            <w:vAlign w:val="center"/>
          </w:tcPr>
          <w:p w:rsidR="007B4818" w:rsidRDefault="00D73177">
            <w:pPr>
              <w:widowControl/>
              <w:jc w:val="center"/>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村庄建设区</w:t>
            </w:r>
          </w:p>
        </w:tc>
        <w:tc>
          <w:tcPr>
            <w:tcW w:w="5293" w:type="dxa"/>
            <w:shd w:val="clear" w:color="auto" w:fill="auto"/>
            <w:vAlign w:val="center"/>
          </w:tcPr>
          <w:p w:rsidR="007B4818" w:rsidRDefault="00D73177">
            <w:pPr>
              <w:widowControl/>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城镇开发边界外，规划重点发展的村庄用地区域</w:t>
            </w:r>
          </w:p>
        </w:tc>
      </w:tr>
      <w:tr w:rsidR="007B4818">
        <w:trPr>
          <w:trHeight w:val="684"/>
        </w:trPr>
        <w:tc>
          <w:tcPr>
            <w:tcW w:w="1543" w:type="dxa"/>
            <w:vMerge/>
            <w:tcBorders>
              <w:right w:val="nil"/>
            </w:tcBorders>
            <w:shd w:val="clear" w:color="auto" w:fill="auto"/>
            <w:vAlign w:val="center"/>
          </w:tcPr>
          <w:p w:rsidR="007B4818" w:rsidRDefault="007B4818">
            <w:pPr>
              <w:widowControl/>
              <w:jc w:val="center"/>
              <w:textAlignment w:val="center"/>
              <w:rPr>
                <w:rFonts w:ascii="仿宋_GB2312" w:eastAsia="仿宋_GB2312" w:hAnsi="仿宋_GB2312" w:cs="仿宋_GB2312"/>
                <w:color w:val="000000" w:themeColor="text1"/>
                <w:kern w:val="0"/>
                <w:szCs w:val="21"/>
              </w:rPr>
            </w:pPr>
          </w:p>
        </w:tc>
        <w:tc>
          <w:tcPr>
            <w:tcW w:w="1690" w:type="dxa"/>
            <w:gridSpan w:val="2"/>
            <w:vAlign w:val="center"/>
          </w:tcPr>
          <w:p w:rsidR="007B4818" w:rsidRDefault="00D73177">
            <w:pPr>
              <w:widowControl/>
              <w:jc w:val="center"/>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一般农业区</w:t>
            </w:r>
          </w:p>
        </w:tc>
        <w:tc>
          <w:tcPr>
            <w:tcW w:w="5293" w:type="dxa"/>
            <w:shd w:val="clear" w:color="auto" w:fill="auto"/>
            <w:vAlign w:val="center"/>
          </w:tcPr>
          <w:p w:rsidR="007B4818" w:rsidRDefault="00D73177">
            <w:pPr>
              <w:widowControl/>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以农业生产发展为主要利用功能导向划定的区域</w:t>
            </w:r>
          </w:p>
        </w:tc>
      </w:tr>
      <w:tr w:rsidR="007B4818">
        <w:trPr>
          <w:trHeight w:val="684"/>
        </w:trPr>
        <w:tc>
          <w:tcPr>
            <w:tcW w:w="1543" w:type="dxa"/>
            <w:vMerge/>
            <w:tcBorders>
              <w:right w:val="nil"/>
            </w:tcBorders>
            <w:shd w:val="clear" w:color="auto" w:fill="auto"/>
            <w:vAlign w:val="center"/>
          </w:tcPr>
          <w:p w:rsidR="007B4818" w:rsidRDefault="007B4818">
            <w:pPr>
              <w:widowControl/>
              <w:jc w:val="center"/>
              <w:textAlignment w:val="center"/>
              <w:rPr>
                <w:rFonts w:ascii="仿宋_GB2312" w:eastAsia="仿宋_GB2312" w:hAnsi="仿宋_GB2312" w:cs="仿宋_GB2312"/>
                <w:color w:val="000000" w:themeColor="text1"/>
                <w:kern w:val="0"/>
                <w:szCs w:val="21"/>
              </w:rPr>
            </w:pPr>
          </w:p>
        </w:tc>
        <w:tc>
          <w:tcPr>
            <w:tcW w:w="1690" w:type="dxa"/>
            <w:gridSpan w:val="2"/>
            <w:vAlign w:val="center"/>
          </w:tcPr>
          <w:p w:rsidR="007B4818" w:rsidRDefault="00D73177">
            <w:pPr>
              <w:widowControl/>
              <w:jc w:val="center"/>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林业发展区</w:t>
            </w:r>
          </w:p>
        </w:tc>
        <w:tc>
          <w:tcPr>
            <w:tcW w:w="5293" w:type="dxa"/>
            <w:shd w:val="clear" w:color="auto" w:fill="auto"/>
            <w:vAlign w:val="center"/>
          </w:tcPr>
          <w:p w:rsidR="007B4818" w:rsidRDefault="00D73177">
            <w:pPr>
              <w:widowControl/>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以规模化林业生产为主要利用功能导向划定的区域</w:t>
            </w:r>
          </w:p>
        </w:tc>
      </w:tr>
      <w:tr w:rsidR="007B4818">
        <w:trPr>
          <w:trHeight w:val="684"/>
        </w:trPr>
        <w:tc>
          <w:tcPr>
            <w:tcW w:w="1543" w:type="dxa"/>
            <w:vMerge/>
            <w:tcBorders>
              <w:right w:val="nil"/>
            </w:tcBorders>
            <w:shd w:val="clear" w:color="auto" w:fill="auto"/>
            <w:vAlign w:val="center"/>
          </w:tcPr>
          <w:p w:rsidR="007B4818" w:rsidRDefault="007B4818">
            <w:pPr>
              <w:widowControl/>
              <w:jc w:val="center"/>
              <w:textAlignment w:val="center"/>
              <w:rPr>
                <w:rFonts w:ascii="仿宋_GB2312" w:eastAsia="仿宋_GB2312" w:hAnsi="仿宋_GB2312" w:cs="仿宋_GB2312"/>
                <w:color w:val="000000" w:themeColor="text1"/>
                <w:kern w:val="0"/>
                <w:szCs w:val="21"/>
              </w:rPr>
            </w:pPr>
          </w:p>
        </w:tc>
        <w:tc>
          <w:tcPr>
            <w:tcW w:w="1690" w:type="dxa"/>
            <w:gridSpan w:val="2"/>
            <w:vAlign w:val="center"/>
          </w:tcPr>
          <w:p w:rsidR="007B4818" w:rsidRDefault="00D73177">
            <w:pPr>
              <w:widowControl/>
              <w:jc w:val="center"/>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牧业发展区</w:t>
            </w:r>
          </w:p>
        </w:tc>
        <w:tc>
          <w:tcPr>
            <w:tcW w:w="5293" w:type="dxa"/>
            <w:shd w:val="clear" w:color="auto" w:fill="auto"/>
            <w:vAlign w:val="center"/>
          </w:tcPr>
          <w:p w:rsidR="007B4818" w:rsidRDefault="00D73177">
            <w:pPr>
              <w:widowControl/>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以草原畜牧业发展为主要利用功能导向划定的区域</w:t>
            </w:r>
          </w:p>
        </w:tc>
      </w:tr>
      <w:tr w:rsidR="007B4818">
        <w:trPr>
          <w:trHeight w:val="480"/>
        </w:trPr>
        <w:tc>
          <w:tcPr>
            <w:tcW w:w="1543" w:type="dxa"/>
            <w:vMerge w:val="restart"/>
            <w:tcBorders>
              <w:right w:val="single" w:sz="4" w:space="0" w:color="auto"/>
            </w:tcBorders>
            <w:shd w:val="clear" w:color="auto" w:fill="auto"/>
            <w:vAlign w:val="center"/>
          </w:tcPr>
          <w:p w:rsidR="007B4818" w:rsidRDefault="00D73177">
            <w:pPr>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kern w:val="0"/>
                <w:szCs w:val="21"/>
              </w:rPr>
              <w:t>海洋发展区</w:t>
            </w:r>
          </w:p>
        </w:tc>
        <w:tc>
          <w:tcPr>
            <w:tcW w:w="1690" w:type="dxa"/>
            <w:gridSpan w:val="2"/>
          </w:tcPr>
          <w:p w:rsidR="007B4818" w:rsidRDefault="007B4818">
            <w:pPr>
              <w:widowControl/>
              <w:jc w:val="center"/>
              <w:textAlignment w:val="center"/>
              <w:rPr>
                <w:rFonts w:ascii="仿宋_GB2312" w:eastAsia="仿宋_GB2312" w:hAnsi="仿宋_GB2312" w:cs="仿宋_GB2312"/>
                <w:color w:val="000000" w:themeColor="text1"/>
                <w:kern w:val="0"/>
                <w:szCs w:val="21"/>
              </w:rPr>
            </w:pPr>
          </w:p>
        </w:tc>
        <w:tc>
          <w:tcPr>
            <w:tcW w:w="5293" w:type="dxa"/>
            <w:shd w:val="clear" w:color="auto" w:fill="auto"/>
            <w:vAlign w:val="center"/>
          </w:tcPr>
          <w:p w:rsidR="007B4818" w:rsidRDefault="00D73177">
            <w:pPr>
              <w:widowControl/>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允许集中开展开发利用活动的海域，以及允许适度开展开发利用活动的无居民海岛</w:t>
            </w:r>
          </w:p>
        </w:tc>
      </w:tr>
      <w:tr w:rsidR="007B4818">
        <w:trPr>
          <w:trHeight w:val="480"/>
        </w:trPr>
        <w:tc>
          <w:tcPr>
            <w:tcW w:w="1543" w:type="dxa"/>
            <w:vMerge/>
            <w:tcBorders>
              <w:right w:val="single" w:sz="4" w:space="0" w:color="auto"/>
            </w:tcBorders>
            <w:shd w:val="clear" w:color="auto" w:fill="auto"/>
            <w:vAlign w:val="center"/>
          </w:tcPr>
          <w:p w:rsidR="007B4818" w:rsidRDefault="007B4818">
            <w:pPr>
              <w:jc w:val="center"/>
              <w:rPr>
                <w:rFonts w:ascii="仿宋_GB2312" w:eastAsia="仿宋_GB2312" w:hAnsi="仿宋_GB2312" w:cs="仿宋_GB2312"/>
                <w:color w:val="000000" w:themeColor="text1"/>
                <w:kern w:val="0"/>
                <w:szCs w:val="21"/>
              </w:rPr>
            </w:pPr>
          </w:p>
        </w:tc>
        <w:tc>
          <w:tcPr>
            <w:tcW w:w="1690" w:type="dxa"/>
            <w:gridSpan w:val="2"/>
            <w:vAlign w:val="center"/>
          </w:tcPr>
          <w:p w:rsidR="007B4818" w:rsidRDefault="00D73177">
            <w:pPr>
              <w:widowControl/>
              <w:jc w:val="center"/>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渔业用海区</w:t>
            </w:r>
          </w:p>
        </w:tc>
        <w:tc>
          <w:tcPr>
            <w:tcW w:w="5293" w:type="dxa"/>
            <w:shd w:val="clear" w:color="auto" w:fill="auto"/>
            <w:vAlign w:val="center"/>
          </w:tcPr>
          <w:p w:rsidR="007B4818" w:rsidRDefault="00D73177">
            <w:pPr>
              <w:widowControl/>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以渔业基础设施建设、养殖和捕捞生产等渔业利用为主要功能导向的海域和无居民海岛</w:t>
            </w:r>
          </w:p>
        </w:tc>
      </w:tr>
      <w:tr w:rsidR="007B4818">
        <w:trPr>
          <w:trHeight w:val="480"/>
        </w:trPr>
        <w:tc>
          <w:tcPr>
            <w:tcW w:w="1543" w:type="dxa"/>
            <w:vMerge/>
            <w:tcBorders>
              <w:right w:val="single" w:sz="4" w:space="0" w:color="auto"/>
            </w:tcBorders>
            <w:shd w:val="clear" w:color="auto" w:fill="auto"/>
            <w:vAlign w:val="center"/>
          </w:tcPr>
          <w:p w:rsidR="007B4818" w:rsidRDefault="007B4818">
            <w:pPr>
              <w:jc w:val="center"/>
              <w:rPr>
                <w:rFonts w:ascii="仿宋_GB2312" w:eastAsia="仿宋_GB2312" w:hAnsi="仿宋_GB2312" w:cs="仿宋_GB2312"/>
                <w:b/>
                <w:bCs/>
                <w:color w:val="000000" w:themeColor="text1"/>
                <w:kern w:val="0"/>
                <w:szCs w:val="21"/>
              </w:rPr>
            </w:pPr>
          </w:p>
        </w:tc>
        <w:tc>
          <w:tcPr>
            <w:tcW w:w="1690" w:type="dxa"/>
            <w:gridSpan w:val="2"/>
            <w:vAlign w:val="center"/>
          </w:tcPr>
          <w:p w:rsidR="007B4818" w:rsidRDefault="00D73177">
            <w:pPr>
              <w:widowControl/>
              <w:jc w:val="center"/>
              <w:textAlignment w:val="center"/>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color w:val="000000" w:themeColor="text1"/>
                <w:kern w:val="0"/>
                <w:szCs w:val="21"/>
              </w:rPr>
              <w:t>交通运输用海区</w:t>
            </w:r>
          </w:p>
        </w:tc>
        <w:tc>
          <w:tcPr>
            <w:tcW w:w="5293" w:type="dxa"/>
            <w:shd w:val="clear" w:color="auto" w:fill="auto"/>
            <w:vAlign w:val="center"/>
          </w:tcPr>
          <w:p w:rsidR="007B4818" w:rsidRDefault="00D73177">
            <w:pPr>
              <w:widowControl/>
              <w:textAlignment w:val="center"/>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color w:val="000000" w:themeColor="text1"/>
                <w:kern w:val="0"/>
                <w:szCs w:val="21"/>
              </w:rPr>
              <w:t>以港口建设、路桥建设、航运等为主要功能导向的海域和无居民海岛</w:t>
            </w:r>
          </w:p>
        </w:tc>
      </w:tr>
      <w:tr w:rsidR="007B4818">
        <w:trPr>
          <w:trHeight w:val="480"/>
        </w:trPr>
        <w:tc>
          <w:tcPr>
            <w:tcW w:w="1543" w:type="dxa"/>
            <w:vMerge/>
            <w:tcBorders>
              <w:right w:val="single" w:sz="4" w:space="0" w:color="auto"/>
            </w:tcBorders>
            <w:shd w:val="clear" w:color="auto" w:fill="auto"/>
            <w:vAlign w:val="center"/>
          </w:tcPr>
          <w:p w:rsidR="007B4818" w:rsidRDefault="007B4818">
            <w:pPr>
              <w:jc w:val="center"/>
              <w:rPr>
                <w:rFonts w:ascii="仿宋_GB2312" w:eastAsia="仿宋_GB2312" w:hAnsi="仿宋_GB2312" w:cs="仿宋_GB2312"/>
                <w:color w:val="000000" w:themeColor="text1"/>
                <w:kern w:val="0"/>
                <w:szCs w:val="21"/>
              </w:rPr>
            </w:pPr>
          </w:p>
        </w:tc>
        <w:tc>
          <w:tcPr>
            <w:tcW w:w="1690" w:type="dxa"/>
            <w:gridSpan w:val="2"/>
            <w:vAlign w:val="center"/>
          </w:tcPr>
          <w:p w:rsidR="007B4818" w:rsidRDefault="00D73177">
            <w:pPr>
              <w:widowControl/>
              <w:jc w:val="center"/>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工矿通信用海区</w:t>
            </w:r>
          </w:p>
        </w:tc>
        <w:tc>
          <w:tcPr>
            <w:tcW w:w="5293" w:type="dxa"/>
            <w:shd w:val="clear" w:color="auto" w:fill="auto"/>
            <w:vAlign w:val="center"/>
          </w:tcPr>
          <w:p w:rsidR="007B4818" w:rsidRDefault="00D73177">
            <w:pPr>
              <w:widowControl/>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以临海工业利用、矿产能源开发和海底工程建设为主要功能导向的海域和无居民海岛</w:t>
            </w:r>
          </w:p>
        </w:tc>
      </w:tr>
      <w:tr w:rsidR="007B4818">
        <w:trPr>
          <w:trHeight w:val="480"/>
        </w:trPr>
        <w:tc>
          <w:tcPr>
            <w:tcW w:w="1543" w:type="dxa"/>
            <w:vMerge/>
            <w:tcBorders>
              <w:right w:val="single" w:sz="4" w:space="0" w:color="auto"/>
            </w:tcBorders>
            <w:shd w:val="clear" w:color="auto" w:fill="auto"/>
            <w:vAlign w:val="center"/>
          </w:tcPr>
          <w:p w:rsidR="007B4818" w:rsidRDefault="007B4818">
            <w:pPr>
              <w:jc w:val="center"/>
              <w:rPr>
                <w:rFonts w:ascii="仿宋_GB2312" w:eastAsia="仿宋_GB2312" w:hAnsi="仿宋_GB2312" w:cs="仿宋_GB2312"/>
                <w:color w:val="000000" w:themeColor="text1"/>
                <w:kern w:val="0"/>
                <w:szCs w:val="21"/>
              </w:rPr>
            </w:pPr>
          </w:p>
        </w:tc>
        <w:tc>
          <w:tcPr>
            <w:tcW w:w="1690" w:type="dxa"/>
            <w:gridSpan w:val="2"/>
            <w:vAlign w:val="center"/>
          </w:tcPr>
          <w:p w:rsidR="007B4818" w:rsidRDefault="00D73177">
            <w:pPr>
              <w:widowControl/>
              <w:jc w:val="center"/>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游憩用海区</w:t>
            </w:r>
          </w:p>
        </w:tc>
        <w:tc>
          <w:tcPr>
            <w:tcW w:w="5293" w:type="dxa"/>
            <w:shd w:val="clear" w:color="auto" w:fill="auto"/>
            <w:vAlign w:val="center"/>
          </w:tcPr>
          <w:p w:rsidR="007B4818" w:rsidRDefault="00D73177">
            <w:pPr>
              <w:widowControl/>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以开发利用旅游资源为主要功能导向的海域和无居民海岛</w:t>
            </w:r>
          </w:p>
        </w:tc>
      </w:tr>
      <w:tr w:rsidR="007B4818">
        <w:trPr>
          <w:trHeight w:val="480"/>
        </w:trPr>
        <w:tc>
          <w:tcPr>
            <w:tcW w:w="1543" w:type="dxa"/>
            <w:vMerge/>
            <w:tcBorders>
              <w:right w:val="single" w:sz="4" w:space="0" w:color="auto"/>
            </w:tcBorders>
            <w:shd w:val="clear" w:color="auto" w:fill="auto"/>
            <w:vAlign w:val="center"/>
          </w:tcPr>
          <w:p w:rsidR="007B4818" w:rsidRDefault="007B4818">
            <w:pPr>
              <w:jc w:val="center"/>
              <w:rPr>
                <w:rFonts w:ascii="仿宋_GB2312" w:eastAsia="仿宋_GB2312" w:hAnsi="仿宋_GB2312" w:cs="仿宋_GB2312"/>
                <w:color w:val="000000" w:themeColor="text1"/>
                <w:kern w:val="0"/>
                <w:szCs w:val="21"/>
              </w:rPr>
            </w:pPr>
          </w:p>
        </w:tc>
        <w:tc>
          <w:tcPr>
            <w:tcW w:w="1690" w:type="dxa"/>
            <w:gridSpan w:val="2"/>
            <w:vAlign w:val="center"/>
          </w:tcPr>
          <w:p w:rsidR="007B4818" w:rsidRDefault="00D73177">
            <w:pPr>
              <w:widowControl/>
              <w:jc w:val="center"/>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特殊用海区</w:t>
            </w:r>
          </w:p>
        </w:tc>
        <w:tc>
          <w:tcPr>
            <w:tcW w:w="5293" w:type="dxa"/>
            <w:shd w:val="clear" w:color="auto" w:fill="auto"/>
            <w:vAlign w:val="center"/>
          </w:tcPr>
          <w:p w:rsidR="007B4818" w:rsidRDefault="00D73177">
            <w:pPr>
              <w:widowControl/>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以污水达标排放、倾倒、军事等特殊利用为主要功能导向的海域和无居民海岛</w:t>
            </w:r>
          </w:p>
        </w:tc>
      </w:tr>
      <w:tr w:rsidR="007B4818">
        <w:trPr>
          <w:trHeight w:val="480"/>
        </w:trPr>
        <w:tc>
          <w:tcPr>
            <w:tcW w:w="1543" w:type="dxa"/>
            <w:vMerge/>
            <w:tcBorders>
              <w:right w:val="single" w:sz="4" w:space="0" w:color="auto"/>
            </w:tcBorders>
            <w:shd w:val="clear" w:color="auto" w:fill="auto"/>
            <w:vAlign w:val="center"/>
          </w:tcPr>
          <w:p w:rsidR="007B4818" w:rsidRDefault="007B4818">
            <w:pPr>
              <w:jc w:val="center"/>
              <w:rPr>
                <w:rFonts w:ascii="仿宋_GB2312" w:eastAsia="仿宋_GB2312" w:hAnsi="仿宋_GB2312" w:cs="仿宋_GB2312"/>
                <w:color w:val="000000" w:themeColor="text1"/>
                <w:kern w:val="0"/>
                <w:szCs w:val="21"/>
              </w:rPr>
            </w:pPr>
          </w:p>
        </w:tc>
        <w:tc>
          <w:tcPr>
            <w:tcW w:w="1690" w:type="dxa"/>
            <w:gridSpan w:val="2"/>
            <w:vAlign w:val="center"/>
          </w:tcPr>
          <w:p w:rsidR="007B4818" w:rsidRDefault="00D73177">
            <w:pPr>
              <w:widowControl/>
              <w:jc w:val="center"/>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海洋预留区</w:t>
            </w:r>
          </w:p>
        </w:tc>
        <w:tc>
          <w:tcPr>
            <w:tcW w:w="5293" w:type="dxa"/>
            <w:shd w:val="clear" w:color="auto" w:fill="auto"/>
            <w:vAlign w:val="center"/>
          </w:tcPr>
          <w:p w:rsidR="007B4818" w:rsidRDefault="00D73177">
            <w:pPr>
              <w:widowControl/>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规划期内为重大项目用海用岛预留的控制性后备发展区域</w:t>
            </w:r>
          </w:p>
        </w:tc>
      </w:tr>
      <w:tr w:rsidR="007B4818">
        <w:trPr>
          <w:trHeight w:val="480"/>
        </w:trPr>
        <w:tc>
          <w:tcPr>
            <w:tcW w:w="1543" w:type="dxa"/>
            <w:tcBorders>
              <w:right w:val="single" w:sz="4" w:space="0" w:color="auto"/>
            </w:tcBorders>
            <w:shd w:val="clear" w:color="auto" w:fill="auto"/>
            <w:vAlign w:val="center"/>
          </w:tcPr>
          <w:p w:rsidR="007B4818" w:rsidRDefault="00D73177">
            <w:pPr>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矿产能源发展区</w:t>
            </w:r>
          </w:p>
        </w:tc>
        <w:tc>
          <w:tcPr>
            <w:tcW w:w="1690" w:type="dxa"/>
            <w:gridSpan w:val="2"/>
            <w:vAlign w:val="center"/>
          </w:tcPr>
          <w:p w:rsidR="007B4818" w:rsidRDefault="007B4818">
            <w:pPr>
              <w:widowControl/>
              <w:textAlignment w:val="center"/>
              <w:rPr>
                <w:rFonts w:ascii="仿宋_GB2312" w:eastAsia="仿宋_GB2312" w:hAnsi="仿宋_GB2312" w:cs="仿宋_GB2312"/>
                <w:color w:val="000000" w:themeColor="text1"/>
                <w:kern w:val="0"/>
                <w:szCs w:val="21"/>
              </w:rPr>
            </w:pPr>
          </w:p>
        </w:tc>
        <w:tc>
          <w:tcPr>
            <w:tcW w:w="5293" w:type="dxa"/>
            <w:shd w:val="clear" w:color="auto" w:fill="auto"/>
            <w:vAlign w:val="center"/>
          </w:tcPr>
          <w:p w:rsidR="007B4818" w:rsidRDefault="00D73177">
            <w:pPr>
              <w:widowControl/>
              <w:textAlignment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为适应国家能源安全与矿业发展的重要陆域采矿区、战略性矿产储量区等区域。</w:t>
            </w:r>
          </w:p>
        </w:tc>
      </w:tr>
    </w:tbl>
    <w:p w:rsidR="007B4818" w:rsidRDefault="007B4818">
      <w:pPr>
        <w:ind w:firstLineChars="200" w:firstLine="480"/>
        <w:rPr>
          <w:color w:val="000000" w:themeColor="text1"/>
          <w:sz w:val="24"/>
          <w:szCs w:val="30"/>
        </w:rPr>
      </w:pPr>
    </w:p>
    <w:p w:rsidR="007B4818" w:rsidRDefault="00D73177">
      <w:pPr>
        <w:widowControl/>
        <w:jc w:val="left"/>
        <w:rPr>
          <w:color w:val="000000" w:themeColor="text1"/>
        </w:rPr>
      </w:pPr>
      <w:r>
        <w:rPr>
          <w:color w:val="000000" w:themeColor="text1"/>
        </w:rPr>
        <w:br w:type="page"/>
      </w:r>
    </w:p>
    <w:p w:rsidR="007B4818" w:rsidRDefault="007B4818">
      <w:pPr>
        <w:rPr>
          <w:color w:val="000000" w:themeColor="text1"/>
        </w:rPr>
      </w:pPr>
    </w:p>
    <w:p w:rsidR="007B4818" w:rsidRDefault="00D73177">
      <w:pPr>
        <w:pStyle w:val="1"/>
        <w:numPr>
          <w:ilvl w:val="0"/>
          <w:numId w:val="0"/>
        </w:numPr>
        <w:spacing w:line="240" w:lineRule="auto"/>
        <w:ind w:left="425" w:hanging="425"/>
        <w:jc w:val="both"/>
        <w:rPr>
          <w:color w:val="000000" w:themeColor="text1"/>
          <w:szCs w:val="32"/>
        </w:rPr>
      </w:pPr>
      <w:bookmarkStart w:id="228" w:name="_Toc20988"/>
      <w:bookmarkStart w:id="229" w:name="_Toc38876647"/>
      <w:bookmarkStart w:id="230" w:name="_Toc7529"/>
      <w:bookmarkStart w:id="231" w:name="_Toc20876"/>
      <w:bookmarkStart w:id="232" w:name="_Toc14123"/>
      <w:bookmarkStart w:id="233" w:name="_Toc23591"/>
      <w:bookmarkStart w:id="234" w:name="_Toc44611603"/>
      <w:r>
        <w:rPr>
          <w:color w:val="000000" w:themeColor="text1"/>
          <w:szCs w:val="32"/>
        </w:rPr>
        <w:t>附录</w:t>
      </w:r>
      <w:r>
        <w:rPr>
          <w:color w:val="000000" w:themeColor="text1"/>
          <w:szCs w:val="32"/>
        </w:rPr>
        <w:t xml:space="preserve">C  </w:t>
      </w:r>
      <w:r>
        <w:rPr>
          <w:rFonts w:hint="eastAsia"/>
          <w:color w:val="000000" w:themeColor="text1"/>
          <w:szCs w:val="32"/>
        </w:rPr>
        <w:t>规划图件目录</w:t>
      </w:r>
      <w:bookmarkEnd w:id="228"/>
      <w:bookmarkEnd w:id="229"/>
      <w:bookmarkEnd w:id="230"/>
      <w:bookmarkEnd w:id="231"/>
      <w:bookmarkEnd w:id="232"/>
      <w:bookmarkEnd w:id="233"/>
      <w:bookmarkEnd w:id="234"/>
    </w:p>
    <w:p w:rsidR="007B4818" w:rsidRDefault="00D73177">
      <w:pPr>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1、现状图：</w:t>
      </w:r>
    </w:p>
    <w:p w:rsidR="007B4818" w:rsidRDefault="00D73177">
      <w:pPr>
        <w:ind w:firstLineChars="200" w:firstLine="643"/>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（1）应提交的现状图件：</w:t>
      </w:r>
    </w:p>
    <w:p w:rsidR="007B4818" w:rsidRDefault="00D73177">
      <w:pPr>
        <w:ind w:left="56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b/>
          <w:bCs/>
          <w:color w:val="000000" w:themeColor="text1"/>
          <w:sz w:val="32"/>
          <w:szCs w:val="32"/>
        </w:rPr>
        <w:t>市域国土空间用地用海现状图</w:t>
      </w:r>
    </w:p>
    <w:p w:rsidR="007B4818" w:rsidRDefault="00D73177">
      <w:pPr>
        <w:ind w:left="56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b/>
          <w:bCs/>
          <w:color w:val="000000" w:themeColor="text1"/>
          <w:sz w:val="32"/>
          <w:szCs w:val="32"/>
        </w:rPr>
        <w:t>市域自然保护地分布图</w:t>
      </w:r>
    </w:p>
    <w:p w:rsidR="007B4818" w:rsidRDefault="00D73177">
      <w:pPr>
        <w:ind w:left="56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b/>
          <w:bCs/>
          <w:color w:val="000000" w:themeColor="text1"/>
          <w:sz w:val="32"/>
          <w:szCs w:val="32"/>
        </w:rPr>
        <w:t>市域历史文化遗存分布图</w:t>
      </w:r>
    </w:p>
    <w:p w:rsidR="007B4818" w:rsidRDefault="00D73177">
      <w:pPr>
        <w:ind w:left="56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b/>
          <w:bCs/>
          <w:color w:val="000000" w:themeColor="text1"/>
          <w:sz w:val="32"/>
          <w:szCs w:val="32"/>
        </w:rPr>
        <w:t>市域自然灾害风险分布图</w:t>
      </w:r>
    </w:p>
    <w:p w:rsidR="007B4818" w:rsidRDefault="00D73177">
      <w:pPr>
        <w:ind w:left="56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b/>
          <w:bCs/>
          <w:color w:val="000000" w:themeColor="text1"/>
          <w:sz w:val="32"/>
          <w:szCs w:val="32"/>
        </w:rPr>
        <w:t>中心城区用地用海现状图</w:t>
      </w:r>
    </w:p>
    <w:p w:rsidR="007B4818" w:rsidRDefault="00D73177">
      <w:pPr>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（2）其他现状图件：</w:t>
      </w:r>
      <w:r>
        <w:rPr>
          <w:rFonts w:ascii="仿宋_GB2312" w:eastAsia="仿宋_GB2312" w:hAnsi="仿宋_GB2312" w:cs="仿宋_GB2312" w:hint="eastAsia"/>
          <w:color w:val="000000" w:themeColor="text1"/>
          <w:sz w:val="32"/>
          <w:szCs w:val="32"/>
        </w:rPr>
        <w:t>反映自然地理、生态环境、能源矿产、区域发展、经济产业、人口社会、城镇化、乡村发展、灾害风险等方面现状与分析评价的必要图件。</w:t>
      </w:r>
    </w:p>
    <w:p w:rsidR="007B4818" w:rsidRDefault="007B4818">
      <w:pPr>
        <w:ind w:firstLineChars="200" w:firstLine="640"/>
        <w:rPr>
          <w:rFonts w:ascii="仿宋_GB2312" w:eastAsia="仿宋_GB2312" w:hAnsi="仿宋_GB2312" w:cs="仿宋_GB2312"/>
          <w:color w:val="000000" w:themeColor="text1"/>
          <w:sz w:val="32"/>
          <w:szCs w:val="32"/>
        </w:rPr>
      </w:pPr>
    </w:p>
    <w:p w:rsidR="007B4818" w:rsidRDefault="00D73177">
      <w:pPr>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2、规划图：</w:t>
      </w:r>
    </w:p>
    <w:p w:rsidR="007B4818" w:rsidRDefault="00D73177">
      <w:pPr>
        <w:ind w:firstLineChars="200" w:firstLine="643"/>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（1）应提交的规划图件：</w:t>
      </w:r>
    </w:p>
    <w:p w:rsidR="007B4818" w:rsidRDefault="00D73177">
      <w:pPr>
        <w:ind w:left="56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b/>
          <w:bCs/>
          <w:color w:val="000000" w:themeColor="text1"/>
          <w:sz w:val="32"/>
          <w:szCs w:val="32"/>
        </w:rPr>
        <w:t>市域主体功能分区图</w:t>
      </w:r>
    </w:p>
    <w:p w:rsidR="007B4818" w:rsidRDefault="00D73177">
      <w:pPr>
        <w:ind w:left="560"/>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w:t>
      </w:r>
      <w:r>
        <w:rPr>
          <w:rFonts w:ascii="仿宋_GB2312" w:eastAsia="仿宋_GB2312" w:hAnsi="仿宋_GB2312" w:cs="仿宋_GB2312" w:hint="eastAsia"/>
          <w:b/>
          <w:bCs/>
          <w:color w:val="000000" w:themeColor="text1"/>
          <w:sz w:val="32"/>
          <w:szCs w:val="32"/>
        </w:rPr>
        <w:t>市域国土空间总体格局规划图</w:t>
      </w:r>
    </w:p>
    <w:p w:rsidR="007B4818" w:rsidRDefault="00D73177">
      <w:pPr>
        <w:ind w:left="56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b/>
          <w:bCs/>
          <w:color w:val="000000" w:themeColor="text1"/>
          <w:sz w:val="32"/>
          <w:szCs w:val="32"/>
        </w:rPr>
        <w:t>市域国土空间控制线规划图</w:t>
      </w:r>
    </w:p>
    <w:p w:rsidR="007B4818" w:rsidRDefault="00D73177">
      <w:pPr>
        <w:ind w:left="56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b/>
          <w:bCs/>
          <w:color w:val="000000" w:themeColor="text1"/>
          <w:sz w:val="32"/>
          <w:szCs w:val="32"/>
        </w:rPr>
        <w:t>市域生态系统保护规划图</w:t>
      </w:r>
    </w:p>
    <w:p w:rsidR="007B4818" w:rsidRDefault="00D73177">
      <w:pPr>
        <w:ind w:left="56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b/>
          <w:bCs/>
          <w:color w:val="000000" w:themeColor="text1"/>
          <w:sz w:val="32"/>
          <w:szCs w:val="32"/>
        </w:rPr>
        <w:t>市域城镇体系规划图</w:t>
      </w:r>
    </w:p>
    <w:p w:rsidR="007B4818" w:rsidRDefault="00D73177">
      <w:pPr>
        <w:ind w:left="56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b/>
          <w:bCs/>
          <w:color w:val="000000" w:themeColor="text1"/>
          <w:sz w:val="32"/>
          <w:szCs w:val="32"/>
        </w:rPr>
        <w:t>市域农业空间规划图</w:t>
      </w:r>
    </w:p>
    <w:p w:rsidR="007B4818" w:rsidRDefault="00D73177">
      <w:pPr>
        <w:ind w:left="56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b/>
          <w:bCs/>
          <w:color w:val="000000" w:themeColor="text1"/>
          <w:sz w:val="32"/>
          <w:szCs w:val="32"/>
        </w:rPr>
        <w:t>市域历史文化保护规划图</w:t>
      </w:r>
    </w:p>
    <w:p w:rsidR="007B4818" w:rsidRDefault="00D73177">
      <w:pPr>
        <w:ind w:left="56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b/>
          <w:bCs/>
          <w:color w:val="000000" w:themeColor="text1"/>
          <w:sz w:val="32"/>
          <w:szCs w:val="32"/>
        </w:rPr>
        <w:t>市域城乡生活圈和公共服务设施规划图</w:t>
      </w:r>
    </w:p>
    <w:p w:rsidR="007B4818" w:rsidRDefault="00D73177">
      <w:pPr>
        <w:ind w:left="560"/>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——市域综合交通规划图</w:t>
      </w:r>
    </w:p>
    <w:p w:rsidR="007B4818" w:rsidRDefault="00D73177">
      <w:pPr>
        <w:ind w:left="560"/>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——市域基础设施规划图</w:t>
      </w:r>
    </w:p>
    <w:p w:rsidR="007B4818" w:rsidRDefault="00D73177">
      <w:pPr>
        <w:ind w:left="560"/>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——市域国土空间规划分区图</w:t>
      </w:r>
    </w:p>
    <w:p w:rsidR="007B4818" w:rsidRDefault="00D73177">
      <w:pPr>
        <w:ind w:left="560"/>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——市域生态修复和综合整治规划图</w:t>
      </w:r>
    </w:p>
    <w:p w:rsidR="007B4818" w:rsidRDefault="00D73177">
      <w:pPr>
        <w:ind w:left="560"/>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——市域矿产资源规划图</w:t>
      </w:r>
    </w:p>
    <w:p w:rsidR="007B4818" w:rsidRDefault="00D73177">
      <w:pPr>
        <w:ind w:left="560"/>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——中心城区土地使用规划图</w:t>
      </w:r>
    </w:p>
    <w:p w:rsidR="007B4818" w:rsidRDefault="00D73177">
      <w:pPr>
        <w:ind w:left="56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b/>
          <w:bCs/>
          <w:color w:val="000000" w:themeColor="text1"/>
          <w:sz w:val="32"/>
          <w:szCs w:val="32"/>
        </w:rPr>
        <w:t>中心城区国土空间规划分区图</w:t>
      </w:r>
    </w:p>
    <w:p w:rsidR="007B4818" w:rsidRDefault="00D73177">
      <w:pPr>
        <w:ind w:left="560"/>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——中心城区开发强度分区规划图</w:t>
      </w:r>
    </w:p>
    <w:p w:rsidR="007B4818" w:rsidRDefault="00D73177">
      <w:pPr>
        <w:ind w:left="560"/>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——中心城区控制线规划图（绿线、蓝线、紫线、黄线）</w:t>
      </w:r>
    </w:p>
    <w:p w:rsidR="007B4818" w:rsidRDefault="00D73177">
      <w:pPr>
        <w:ind w:left="560"/>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——中心城区历史文化保护和城市更新规划图</w:t>
      </w:r>
    </w:p>
    <w:p w:rsidR="007B4818" w:rsidRDefault="00D73177">
      <w:pPr>
        <w:ind w:left="56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b/>
          <w:bCs/>
          <w:color w:val="000000" w:themeColor="text1"/>
          <w:sz w:val="32"/>
          <w:szCs w:val="32"/>
        </w:rPr>
        <w:t>中心城区绿地系统和开敞空间规划图</w:t>
      </w:r>
    </w:p>
    <w:p w:rsidR="007B4818" w:rsidRDefault="00D73177">
      <w:pPr>
        <w:ind w:left="56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b/>
          <w:bCs/>
          <w:color w:val="000000" w:themeColor="text1"/>
          <w:sz w:val="32"/>
          <w:szCs w:val="32"/>
        </w:rPr>
        <w:t>中心城区公共服务设施体系、道路交通、市政基础设施、综合防灾减灾、地下空间规划图</w:t>
      </w:r>
    </w:p>
    <w:p w:rsidR="007B4818" w:rsidRDefault="00D73177">
      <w:pPr>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（2）其他规划图件：</w:t>
      </w:r>
      <w:r>
        <w:rPr>
          <w:rFonts w:ascii="仿宋_GB2312" w:eastAsia="仿宋_GB2312" w:hAnsi="仿宋_GB2312" w:cs="仿宋_GB2312" w:hint="eastAsia"/>
          <w:color w:val="000000" w:themeColor="text1"/>
          <w:sz w:val="32"/>
          <w:szCs w:val="32"/>
        </w:rPr>
        <w:t>包括住房保障、社区生活圈、慢行系统、城乡绿道、通风廊道、景观风貌、详规单元等内容的规划图件。</w:t>
      </w:r>
    </w:p>
    <w:p w:rsidR="007B4818" w:rsidRDefault="007B4818">
      <w:pPr>
        <w:ind w:firstLineChars="200" w:firstLine="640"/>
        <w:rPr>
          <w:rFonts w:ascii="仿宋_GB2312" w:eastAsia="仿宋_GB2312" w:hAnsi="仿宋_GB2312" w:cs="仿宋_GB2312"/>
          <w:color w:val="000000" w:themeColor="text1"/>
          <w:sz w:val="32"/>
          <w:szCs w:val="32"/>
        </w:rPr>
      </w:pPr>
    </w:p>
    <w:p w:rsidR="007B4818" w:rsidRDefault="00D73177">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根据需要，可将若干张图件合并表达，也可以分为多张图件表达。</w:t>
      </w:r>
      <w:r>
        <w:rPr>
          <w:rFonts w:ascii="仿宋_GB2312" w:eastAsia="仿宋_GB2312" w:hAnsi="仿宋_GB2312" w:cs="仿宋_GB2312" w:hint="eastAsia"/>
          <w:color w:val="000000" w:themeColor="text1"/>
          <w:sz w:val="32"/>
          <w:szCs w:val="32"/>
        </w:rPr>
        <w:br w:type="page"/>
      </w:r>
    </w:p>
    <w:p w:rsidR="007B4818" w:rsidRDefault="007B4818">
      <w:pPr>
        <w:rPr>
          <w:color w:val="000000" w:themeColor="text1"/>
        </w:rPr>
      </w:pPr>
    </w:p>
    <w:p w:rsidR="007B4818" w:rsidRDefault="00D73177">
      <w:pPr>
        <w:pStyle w:val="1"/>
        <w:numPr>
          <w:ilvl w:val="0"/>
          <w:numId w:val="0"/>
        </w:numPr>
        <w:spacing w:line="240" w:lineRule="auto"/>
        <w:ind w:left="425" w:hanging="425"/>
        <w:jc w:val="both"/>
        <w:rPr>
          <w:color w:val="000000" w:themeColor="text1"/>
          <w:szCs w:val="32"/>
        </w:rPr>
      </w:pPr>
      <w:bookmarkStart w:id="235" w:name="_Toc24933"/>
      <w:bookmarkStart w:id="236" w:name="_Toc24257"/>
      <w:bookmarkStart w:id="237" w:name="_Toc11377"/>
      <w:bookmarkStart w:id="238" w:name="_Toc44611604"/>
      <w:bookmarkStart w:id="239" w:name="_Toc17288"/>
      <w:bookmarkStart w:id="240" w:name="_Toc38876648"/>
      <w:bookmarkStart w:id="241" w:name="_Toc10952"/>
      <w:r>
        <w:rPr>
          <w:color w:val="000000" w:themeColor="text1"/>
          <w:szCs w:val="32"/>
        </w:rPr>
        <w:t>附录</w:t>
      </w:r>
      <w:r>
        <w:rPr>
          <w:color w:val="000000" w:themeColor="text1"/>
          <w:szCs w:val="32"/>
        </w:rPr>
        <w:t xml:space="preserve">D  </w:t>
      </w:r>
      <w:r>
        <w:rPr>
          <w:rFonts w:hint="eastAsia"/>
          <w:color w:val="000000" w:themeColor="text1"/>
          <w:szCs w:val="32"/>
        </w:rPr>
        <w:t>规划文本附表</w:t>
      </w:r>
      <w:bookmarkEnd w:id="235"/>
      <w:bookmarkEnd w:id="236"/>
      <w:bookmarkEnd w:id="237"/>
      <w:bookmarkEnd w:id="238"/>
      <w:bookmarkEnd w:id="239"/>
      <w:bookmarkEnd w:id="240"/>
      <w:bookmarkEnd w:id="241"/>
    </w:p>
    <w:p w:rsidR="007B4818" w:rsidRDefault="00D73177">
      <w:pPr>
        <w:pStyle w:val="a4"/>
        <w:spacing w:line="40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表D.1规划指标表</w:t>
      </w:r>
    </w:p>
    <w:p w:rsidR="007B4818" w:rsidRDefault="00D73177">
      <w:pPr>
        <w:pStyle w:val="a"/>
        <w:keepNext/>
        <w:numPr>
          <w:ilvl w:val="0"/>
          <w:numId w:val="0"/>
        </w:numPr>
        <w:ind w:rightChars="250" w:right="525"/>
        <w:jc w:val="righ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 xml:space="preserve">            单位：平方公里</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447"/>
        <w:gridCol w:w="1984"/>
        <w:gridCol w:w="1466"/>
        <w:gridCol w:w="1249"/>
      </w:tblGrid>
      <w:tr w:rsidR="007B4818">
        <w:trPr>
          <w:trHeight w:val="401"/>
          <w:jc w:val="center"/>
        </w:trPr>
        <w:tc>
          <w:tcPr>
            <w:tcW w:w="2376" w:type="dxa"/>
            <w:vAlign w:val="center"/>
          </w:tcPr>
          <w:p w:rsidR="007B4818" w:rsidRDefault="00D73177">
            <w:pPr>
              <w:pStyle w:val="a"/>
              <w:widowControl w:val="0"/>
              <w:numPr>
                <w:ilvl w:val="0"/>
                <w:numId w:val="0"/>
              </w:numPr>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指标</w:t>
            </w:r>
          </w:p>
        </w:tc>
        <w:tc>
          <w:tcPr>
            <w:tcW w:w="1447" w:type="dxa"/>
            <w:vAlign w:val="center"/>
          </w:tcPr>
          <w:p w:rsidR="007B4818" w:rsidRDefault="00D73177">
            <w:pPr>
              <w:pStyle w:val="a"/>
              <w:numPr>
                <w:ilvl w:val="0"/>
                <w:numId w:val="0"/>
              </w:numPr>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规划基期</w:t>
            </w:r>
            <w:r>
              <w:rPr>
                <w:rFonts w:ascii="仿宋_GB2312" w:eastAsia="仿宋_GB2312" w:hAnsi="仿宋_GB2312" w:cs="仿宋_GB2312"/>
                <w:b/>
                <w:color w:val="000000" w:themeColor="text1"/>
                <w:szCs w:val="21"/>
              </w:rPr>
              <w:t>年</w:t>
            </w:r>
          </w:p>
        </w:tc>
        <w:tc>
          <w:tcPr>
            <w:tcW w:w="1984" w:type="dxa"/>
            <w:vAlign w:val="center"/>
          </w:tcPr>
          <w:p w:rsidR="007B4818" w:rsidRDefault="00D73177">
            <w:pPr>
              <w:pStyle w:val="a"/>
              <w:numPr>
                <w:ilvl w:val="0"/>
                <w:numId w:val="0"/>
              </w:numPr>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规划近期目标年</w:t>
            </w:r>
          </w:p>
        </w:tc>
        <w:tc>
          <w:tcPr>
            <w:tcW w:w="1466" w:type="dxa"/>
            <w:vAlign w:val="center"/>
          </w:tcPr>
          <w:p w:rsidR="007B4818" w:rsidRDefault="00D73177">
            <w:pPr>
              <w:pStyle w:val="a"/>
              <w:numPr>
                <w:ilvl w:val="0"/>
                <w:numId w:val="0"/>
              </w:numPr>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规划目标年</w:t>
            </w:r>
          </w:p>
        </w:tc>
        <w:tc>
          <w:tcPr>
            <w:tcW w:w="1249" w:type="dxa"/>
            <w:vAlign w:val="center"/>
          </w:tcPr>
          <w:p w:rsidR="007B4818" w:rsidRDefault="00D73177">
            <w:pPr>
              <w:pStyle w:val="a"/>
              <w:numPr>
                <w:ilvl w:val="0"/>
                <w:numId w:val="0"/>
              </w:numPr>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指标属性</w:t>
            </w:r>
          </w:p>
        </w:tc>
      </w:tr>
      <w:tr w:rsidR="007B4818">
        <w:trPr>
          <w:trHeight w:val="407"/>
          <w:jc w:val="center"/>
        </w:trPr>
        <w:tc>
          <w:tcPr>
            <w:tcW w:w="2376" w:type="dxa"/>
            <w:vAlign w:val="center"/>
          </w:tcPr>
          <w:p w:rsidR="007B4818" w:rsidRDefault="00D73177">
            <w:pPr>
              <w:pStyle w:val="a"/>
              <w:widowControl w:val="0"/>
              <w:numPr>
                <w:ilvl w:val="0"/>
                <w:numId w:val="0"/>
              </w:numPr>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耕地保有量</w:t>
            </w:r>
          </w:p>
        </w:tc>
        <w:tc>
          <w:tcPr>
            <w:tcW w:w="1447" w:type="dxa"/>
            <w:vAlign w:val="center"/>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984" w:type="dxa"/>
            <w:vAlign w:val="center"/>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66" w:type="dxa"/>
            <w:vAlign w:val="center"/>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249" w:type="dxa"/>
            <w:vAlign w:val="center"/>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r>
      <w:tr w:rsidR="007B4818">
        <w:trPr>
          <w:trHeight w:val="413"/>
          <w:jc w:val="center"/>
        </w:trPr>
        <w:tc>
          <w:tcPr>
            <w:tcW w:w="2376" w:type="dxa"/>
            <w:vAlign w:val="center"/>
          </w:tcPr>
          <w:p w:rsidR="007B4818" w:rsidRDefault="00D73177">
            <w:pPr>
              <w:pStyle w:val="a"/>
              <w:widowControl w:val="0"/>
              <w:numPr>
                <w:ilvl w:val="0"/>
                <w:numId w:val="0"/>
              </w:numPr>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永久基本农田保护面积</w:t>
            </w:r>
          </w:p>
        </w:tc>
        <w:tc>
          <w:tcPr>
            <w:tcW w:w="1447" w:type="dxa"/>
            <w:vAlign w:val="center"/>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984" w:type="dxa"/>
            <w:vAlign w:val="center"/>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66" w:type="dxa"/>
            <w:vAlign w:val="center"/>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249" w:type="dxa"/>
            <w:vAlign w:val="center"/>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r>
      <w:tr w:rsidR="007B4818">
        <w:trPr>
          <w:trHeight w:val="413"/>
          <w:jc w:val="center"/>
        </w:trPr>
        <w:tc>
          <w:tcPr>
            <w:tcW w:w="2376" w:type="dxa"/>
            <w:vAlign w:val="center"/>
          </w:tcPr>
          <w:p w:rsidR="007B4818" w:rsidRDefault="00D73177">
            <w:pPr>
              <w:pStyle w:val="a"/>
              <w:numPr>
                <w:ilvl w:val="0"/>
                <w:numId w:val="0"/>
              </w:numPr>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生态保护红线面积</w:t>
            </w:r>
          </w:p>
        </w:tc>
        <w:tc>
          <w:tcPr>
            <w:tcW w:w="1447" w:type="dxa"/>
            <w:vAlign w:val="center"/>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984" w:type="dxa"/>
            <w:vAlign w:val="center"/>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66" w:type="dxa"/>
            <w:vAlign w:val="center"/>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249" w:type="dxa"/>
            <w:vAlign w:val="center"/>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r>
      <w:tr w:rsidR="007B4818">
        <w:trPr>
          <w:trHeight w:val="413"/>
          <w:jc w:val="center"/>
        </w:trPr>
        <w:tc>
          <w:tcPr>
            <w:tcW w:w="2376" w:type="dxa"/>
            <w:vAlign w:val="center"/>
          </w:tcPr>
          <w:p w:rsidR="007B4818" w:rsidRDefault="00D73177">
            <w:pPr>
              <w:pStyle w:val="a"/>
              <w:numPr>
                <w:ilvl w:val="0"/>
                <w:numId w:val="0"/>
              </w:numPr>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w:t>
            </w:r>
          </w:p>
        </w:tc>
        <w:tc>
          <w:tcPr>
            <w:tcW w:w="1447" w:type="dxa"/>
            <w:vAlign w:val="center"/>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984" w:type="dxa"/>
            <w:vAlign w:val="center"/>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66" w:type="dxa"/>
            <w:vAlign w:val="center"/>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249" w:type="dxa"/>
            <w:vAlign w:val="center"/>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r>
    </w:tbl>
    <w:p w:rsidR="007B4818" w:rsidRDefault="007B4818">
      <w:pPr>
        <w:ind w:firstLine="480"/>
        <w:rPr>
          <w:color w:val="000000" w:themeColor="text1"/>
          <w:sz w:val="24"/>
        </w:rPr>
      </w:pPr>
    </w:p>
    <w:p w:rsidR="007B4818" w:rsidRDefault="007B4818">
      <w:pPr>
        <w:ind w:firstLine="480"/>
        <w:rPr>
          <w:color w:val="000000" w:themeColor="text1"/>
          <w:sz w:val="24"/>
        </w:rPr>
      </w:pPr>
    </w:p>
    <w:p w:rsidR="007B4818" w:rsidRDefault="00D73177">
      <w:pPr>
        <w:pStyle w:val="a4"/>
        <w:spacing w:line="40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表D.2 市域国土空间功能结构调整</w:t>
      </w:r>
      <w:r>
        <w:rPr>
          <w:rFonts w:ascii="仿宋_GB2312" w:eastAsia="仿宋_GB2312" w:hAnsi="仿宋_GB2312" w:cs="仿宋_GB2312"/>
          <w:color w:val="000000" w:themeColor="text1"/>
          <w:sz w:val="28"/>
          <w:szCs w:val="28"/>
        </w:rPr>
        <w:t>表</w:t>
      </w:r>
    </w:p>
    <w:p w:rsidR="007B4818" w:rsidRDefault="00D73177">
      <w:pPr>
        <w:pStyle w:val="a"/>
        <w:keepNext/>
        <w:numPr>
          <w:ilvl w:val="0"/>
          <w:numId w:val="0"/>
        </w:numPr>
        <w:ind w:rightChars="250" w:right="525"/>
        <w:jc w:val="righ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单位：平方公里、%</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4"/>
        <w:gridCol w:w="1141"/>
        <w:gridCol w:w="1396"/>
        <w:gridCol w:w="1426"/>
        <w:gridCol w:w="1426"/>
        <w:gridCol w:w="1569"/>
      </w:tblGrid>
      <w:tr w:rsidR="007B4818">
        <w:trPr>
          <w:trHeight w:val="312"/>
          <w:tblHeader/>
        </w:trPr>
        <w:tc>
          <w:tcPr>
            <w:tcW w:w="2705" w:type="dxa"/>
            <w:gridSpan w:val="2"/>
            <w:vMerge w:val="restart"/>
            <w:shd w:val="clear" w:color="auto" w:fill="auto"/>
            <w:vAlign w:val="center"/>
          </w:tcPr>
          <w:p w:rsidR="007B4818" w:rsidRDefault="00D73177">
            <w:pPr>
              <w:pStyle w:val="a"/>
              <w:widowControl w:val="0"/>
              <w:numPr>
                <w:ilvl w:val="0"/>
                <w:numId w:val="0"/>
              </w:numPr>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用地用海类型</w:t>
            </w:r>
          </w:p>
        </w:tc>
        <w:tc>
          <w:tcPr>
            <w:tcW w:w="2822" w:type="dxa"/>
            <w:gridSpan w:val="2"/>
            <w:shd w:val="clear" w:color="auto" w:fill="auto"/>
            <w:vAlign w:val="center"/>
          </w:tcPr>
          <w:p w:rsidR="007B4818" w:rsidRDefault="00D73177">
            <w:pPr>
              <w:pStyle w:val="a"/>
              <w:numPr>
                <w:ilvl w:val="0"/>
                <w:numId w:val="0"/>
              </w:numPr>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规划基期</w:t>
            </w:r>
            <w:r>
              <w:rPr>
                <w:rFonts w:ascii="仿宋_GB2312" w:eastAsia="仿宋_GB2312" w:hAnsi="仿宋_GB2312" w:cs="仿宋_GB2312"/>
                <w:b/>
                <w:color w:val="000000" w:themeColor="text1"/>
                <w:szCs w:val="21"/>
              </w:rPr>
              <w:t>年</w:t>
            </w:r>
          </w:p>
        </w:tc>
        <w:tc>
          <w:tcPr>
            <w:tcW w:w="2995" w:type="dxa"/>
            <w:gridSpan w:val="2"/>
            <w:shd w:val="clear" w:color="auto" w:fill="auto"/>
            <w:vAlign w:val="center"/>
          </w:tcPr>
          <w:p w:rsidR="007B4818" w:rsidRDefault="00D73177">
            <w:pPr>
              <w:pStyle w:val="a"/>
              <w:numPr>
                <w:ilvl w:val="0"/>
                <w:numId w:val="0"/>
              </w:numPr>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规划目标年</w:t>
            </w:r>
          </w:p>
        </w:tc>
      </w:tr>
      <w:tr w:rsidR="007B4818">
        <w:trPr>
          <w:trHeight w:val="312"/>
          <w:tblHeader/>
        </w:trPr>
        <w:tc>
          <w:tcPr>
            <w:tcW w:w="2705" w:type="dxa"/>
            <w:gridSpan w:val="2"/>
            <w:vMerge/>
            <w:shd w:val="clear" w:color="auto" w:fill="auto"/>
            <w:vAlign w:val="center"/>
          </w:tcPr>
          <w:p w:rsidR="007B4818" w:rsidRDefault="007B4818">
            <w:pPr>
              <w:pStyle w:val="a"/>
              <w:widowControl w:val="0"/>
              <w:numPr>
                <w:ilvl w:val="0"/>
                <w:numId w:val="0"/>
              </w:numPr>
              <w:jc w:val="both"/>
              <w:rPr>
                <w:rFonts w:ascii="仿宋_GB2312" w:eastAsia="仿宋_GB2312" w:hAnsi="仿宋_GB2312" w:cs="仿宋_GB2312"/>
                <w:b/>
                <w:color w:val="000000" w:themeColor="text1"/>
                <w:szCs w:val="21"/>
              </w:rPr>
            </w:pPr>
          </w:p>
        </w:tc>
        <w:tc>
          <w:tcPr>
            <w:tcW w:w="1396" w:type="dxa"/>
            <w:shd w:val="clear" w:color="auto" w:fill="auto"/>
            <w:vAlign w:val="center"/>
          </w:tcPr>
          <w:p w:rsidR="007B4818" w:rsidRDefault="00D73177">
            <w:pPr>
              <w:pStyle w:val="a"/>
              <w:numPr>
                <w:ilvl w:val="0"/>
                <w:numId w:val="0"/>
              </w:numPr>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面积</w:t>
            </w:r>
          </w:p>
        </w:tc>
        <w:tc>
          <w:tcPr>
            <w:tcW w:w="1426" w:type="dxa"/>
            <w:shd w:val="clear" w:color="auto" w:fill="auto"/>
            <w:vAlign w:val="center"/>
          </w:tcPr>
          <w:p w:rsidR="007B4818" w:rsidRDefault="00D73177">
            <w:pPr>
              <w:pStyle w:val="a"/>
              <w:numPr>
                <w:ilvl w:val="0"/>
                <w:numId w:val="0"/>
              </w:numPr>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比重</w:t>
            </w:r>
          </w:p>
        </w:tc>
        <w:tc>
          <w:tcPr>
            <w:tcW w:w="1426" w:type="dxa"/>
            <w:shd w:val="clear" w:color="auto" w:fill="auto"/>
            <w:vAlign w:val="center"/>
          </w:tcPr>
          <w:p w:rsidR="007B4818" w:rsidRDefault="00D73177">
            <w:pPr>
              <w:pStyle w:val="a"/>
              <w:numPr>
                <w:ilvl w:val="0"/>
                <w:numId w:val="0"/>
              </w:numPr>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面积</w:t>
            </w:r>
          </w:p>
        </w:tc>
        <w:tc>
          <w:tcPr>
            <w:tcW w:w="1569" w:type="dxa"/>
            <w:shd w:val="clear" w:color="auto" w:fill="auto"/>
            <w:vAlign w:val="center"/>
          </w:tcPr>
          <w:p w:rsidR="007B4818" w:rsidRDefault="00D73177">
            <w:pPr>
              <w:pStyle w:val="a"/>
              <w:numPr>
                <w:ilvl w:val="0"/>
                <w:numId w:val="0"/>
              </w:numPr>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比重</w:t>
            </w:r>
          </w:p>
        </w:tc>
      </w:tr>
      <w:tr w:rsidR="007B4818">
        <w:trPr>
          <w:trHeight w:val="312"/>
        </w:trPr>
        <w:tc>
          <w:tcPr>
            <w:tcW w:w="2705" w:type="dxa"/>
            <w:gridSpan w:val="2"/>
            <w:vAlign w:val="center"/>
          </w:tcPr>
          <w:p w:rsidR="007B4818" w:rsidRDefault="00D73177">
            <w:pPr>
              <w:pStyle w:val="a"/>
              <w:numPr>
                <w:ilvl w:val="0"/>
                <w:numId w:val="0"/>
              </w:numPr>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耕地</w:t>
            </w:r>
          </w:p>
        </w:tc>
        <w:tc>
          <w:tcPr>
            <w:tcW w:w="139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569"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r>
      <w:tr w:rsidR="007B4818">
        <w:trPr>
          <w:trHeight w:val="312"/>
        </w:trPr>
        <w:tc>
          <w:tcPr>
            <w:tcW w:w="2705" w:type="dxa"/>
            <w:gridSpan w:val="2"/>
            <w:vAlign w:val="center"/>
          </w:tcPr>
          <w:p w:rsidR="007B4818" w:rsidRDefault="00D73177">
            <w:pPr>
              <w:pStyle w:val="a"/>
              <w:numPr>
                <w:ilvl w:val="0"/>
                <w:numId w:val="0"/>
              </w:numPr>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园地</w:t>
            </w:r>
          </w:p>
        </w:tc>
        <w:tc>
          <w:tcPr>
            <w:tcW w:w="139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569"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r>
      <w:tr w:rsidR="007B4818">
        <w:trPr>
          <w:trHeight w:val="312"/>
        </w:trPr>
        <w:tc>
          <w:tcPr>
            <w:tcW w:w="2705" w:type="dxa"/>
            <w:gridSpan w:val="2"/>
            <w:vAlign w:val="center"/>
          </w:tcPr>
          <w:p w:rsidR="007B4818" w:rsidRDefault="00D73177">
            <w:pPr>
              <w:pStyle w:val="a"/>
              <w:numPr>
                <w:ilvl w:val="0"/>
                <w:numId w:val="0"/>
              </w:numPr>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林地</w:t>
            </w:r>
          </w:p>
        </w:tc>
        <w:tc>
          <w:tcPr>
            <w:tcW w:w="139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569"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r>
      <w:tr w:rsidR="007B4818">
        <w:trPr>
          <w:trHeight w:val="312"/>
        </w:trPr>
        <w:tc>
          <w:tcPr>
            <w:tcW w:w="2705" w:type="dxa"/>
            <w:gridSpan w:val="2"/>
            <w:vAlign w:val="center"/>
          </w:tcPr>
          <w:p w:rsidR="007B4818" w:rsidRDefault="00D73177">
            <w:pPr>
              <w:pStyle w:val="a"/>
              <w:numPr>
                <w:ilvl w:val="0"/>
                <w:numId w:val="0"/>
              </w:numPr>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草地</w:t>
            </w:r>
          </w:p>
        </w:tc>
        <w:tc>
          <w:tcPr>
            <w:tcW w:w="139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569"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r>
      <w:tr w:rsidR="007B4818">
        <w:trPr>
          <w:trHeight w:val="312"/>
        </w:trPr>
        <w:tc>
          <w:tcPr>
            <w:tcW w:w="2705" w:type="dxa"/>
            <w:gridSpan w:val="2"/>
            <w:vAlign w:val="center"/>
          </w:tcPr>
          <w:p w:rsidR="007B4818" w:rsidRDefault="00D73177">
            <w:pPr>
              <w:pStyle w:val="a"/>
              <w:numPr>
                <w:ilvl w:val="0"/>
                <w:numId w:val="0"/>
              </w:numPr>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湿地</w:t>
            </w:r>
          </w:p>
        </w:tc>
        <w:tc>
          <w:tcPr>
            <w:tcW w:w="139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569"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r>
      <w:tr w:rsidR="007B4818">
        <w:trPr>
          <w:trHeight w:val="229"/>
        </w:trPr>
        <w:tc>
          <w:tcPr>
            <w:tcW w:w="1564" w:type="dxa"/>
            <w:vMerge w:val="restart"/>
            <w:vAlign w:val="center"/>
          </w:tcPr>
          <w:p w:rsidR="007B4818" w:rsidRDefault="00D73177">
            <w:pPr>
              <w:pStyle w:val="a"/>
              <w:numPr>
                <w:ilvl w:val="0"/>
                <w:numId w:val="0"/>
              </w:numPr>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城乡建设用地</w:t>
            </w:r>
          </w:p>
        </w:tc>
        <w:tc>
          <w:tcPr>
            <w:tcW w:w="1141" w:type="dxa"/>
            <w:vAlign w:val="center"/>
          </w:tcPr>
          <w:p w:rsidR="007B4818" w:rsidRDefault="00D73177">
            <w:pPr>
              <w:pStyle w:val="a"/>
              <w:numPr>
                <w:ilvl w:val="0"/>
                <w:numId w:val="0"/>
              </w:numPr>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城镇</w:t>
            </w:r>
          </w:p>
        </w:tc>
        <w:tc>
          <w:tcPr>
            <w:tcW w:w="139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569"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r>
      <w:tr w:rsidR="007B4818">
        <w:trPr>
          <w:trHeight w:val="343"/>
        </w:trPr>
        <w:tc>
          <w:tcPr>
            <w:tcW w:w="1564" w:type="dxa"/>
            <w:vMerge/>
            <w:vAlign w:val="center"/>
          </w:tcPr>
          <w:p w:rsidR="007B4818" w:rsidRDefault="007B4818">
            <w:pPr>
              <w:pStyle w:val="a"/>
              <w:numPr>
                <w:ilvl w:val="0"/>
                <w:numId w:val="0"/>
              </w:numPr>
              <w:jc w:val="both"/>
              <w:rPr>
                <w:rFonts w:ascii="仿宋_GB2312" w:eastAsia="仿宋_GB2312" w:hAnsi="仿宋_GB2312" w:cs="仿宋_GB2312"/>
                <w:color w:val="000000" w:themeColor="text1"/>
                <w:szCs w:val="21"/>
              </w:rPr>
            </w:pPr>
          </w:p>
        </w:tc>
        <w:tc>
          <w:tcPr>
            <w:tcW w:w="1141" w:type="dxa"/>
            <w:vAlign w:val="center"/>
          </w:tcPr>
          <w:p w:rsidR="007B4818" w:rsidRDefault="00D73177">
            <w:pPr>
              <w:pStyle w:val="a"/>
              <w:numPr>
                <w:ilvl w:val="0"/>
                <w:numId w:val="0"/>
              </w:numPr>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村庄</w:t>
            </w:r>
          </w:p>
        </w:tc>
        <w:tc>
          <w:tcPr>
            <w:tcW w:w="139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569"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r>
      <w:tr w:rsidR="007B4818">
        <w:trPr>
          <w:trHeight w:val="407"/>
        </w:trPr>
        <w:tc>
          <w:tcPr>
            <w:tcW w:w="2705" w:type="dxa"/>
            <w:gridSpan w:val="2"/>
            <w:vAlign w:val="center"/>
          </w:tcPr>
          <w:p w:rsidR="007B4818" w:rsidRDefault="00D73177">
            <w:pPr>
              <w:pStyle w:val="a"/>
              <w:numPr>
                <w:ilvl w:val="0"/>
                <w:numId w:val="0"/>
              </w:numPr>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区域基础设施用地</w:t>
            </w:r>
          </w:p>
        </w:tc>
        <w:tc>
          <w:tcPr>
            <w:tcW w:w="139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569"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r>
      <w:tr w:rsidR="007B4818">
        <w:trPr>
          <w:trHeight w:val="312"/>
        </w:trPr>
        <w:tc>
          <w:tcPr>
            <w:tcW w:w="2705" w:type="dxa"/>
            <w:gridSpan w:val="2"/>
            <w:vAlign w:val="center"/>
          </w:tcPr>
          <w:p w:rsidR="007B4818" w:rsidRDefault="00D73177">
            <w:pPr>
              <w:pStyle w:val="a"/>
              <w:numPr>
                <w:ilvl w:val="0"/>
                <w:numId w:val="0"/>
              </w:numPr>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其他建设用地</w:t>
            </w:r>
          </w:p>
        </w:tc>
        <w:tc>
          <w:tcPr>
            <w:tcW w:w="139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569"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r>
      <w:tr w:rsidR="007B4818">
        <w:trPr>
          <w:trHeight w:val="312"/>
        </w:trPr>
        <w:tc>
          <w:tcPr>
            <w:tcW w:w="2705" w:type="dxa"/>
            <w:gridSpan w:val="2"/>
            <w:vAlign w:val="center"/>
          </w:tcPr>
          <w:p w:rsidR="007B4818" w:rsidRDefault="00D73177">
            <w:pPr>
              <w:pStyle w:val="a"/>
              <w:numPr>
                <w:ilvl w:val="0"/>
                <w:numId w:val="0"/>
              </w:numPr>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渔业用海</w:t>
            </w:r>
          </w:p>
        </w:tc>
        <w:tc>
          <w:tcPr>
            <w:tcW w:w="139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569"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r>
      <w:tr w:rsidR="007B4818">
        <w:trPr>
          <w:trHeight w:val="312"/>
        </w:trPr>
        <w:tc>
          <w:tcPr>
            <w:tcW w:w="2705" w:type="dxa"/>
            <w:gridSpan w:val="2"/>
            <w:vAlign w:val="center"/>
          </w:tcPr>
          <w:p w:rsidR="007B4818" w:rsidRDefault="00D73177">
            <w:pPr>
              <w:pStyle w:val="a"/>
              <w:numPr>
                <w:ilvl w:val="0"/>
                <w:numId w:val="0"/>
              </w:numPr>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工矿通信用</w:t>
            </w:r>
            <w:r>
              <w:rPr>
                <w:rFonts w:ascii="仿宋_GB2312" w:eastAsia="仿宋_GB2312" w:hAnsi="仿宋_GB2312" w:cs="仿宋_GB2312"/>
                <w:color w:val="000000" w:themeColor="text1"/>
                <w:szCs w:val="21"/>
              </w:rPr>
              <w:t>海</w:t>
            </w:r>
          </w:p>
        </w:tc>
        <w:tc>
          <w:tcPr>
            <w:tcW w:w="139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569"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r>
      <w:tr w:rsidR="007B4818">
        <w:trPr>
          <w:trHeight w:val="312"/>
        </w:trPr>
        <w:tc>
          <w:tcPr>
            <w:tcW w:w="2705" w:type="dxa"/>
            <w:gridSpan w:val="2"/>
            <w:vAlign w:val="center"/>
          </w:tcPr>
          <w:p w:rsidR="007B4818" w:rsidRDefault="00D73177">
            <w:pPr>
              <w:pStyle w:val="a"/>
              <w:numPr>
                <w:ilvl w:val="0"/>
                <w:numId w:val="0"/>
              </w:numPr>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交通运输用海</w:t>
            </w:r>
          </w:p>
        </w:tc>
        <w:tc>
          <w:tcPr>
            <w:tcW w:w="139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569"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r>
      <w:tr w:rsidR="007B4818">
        <w:trPr>
          <w:trHeight w:val="312"/>
        </w:trPr>
        <w:tc>
          <w:tcPr>
            <w:tcW w:w="2705" w:type="dxa"/>
            <w:gridSpan w:val="2"/>
            <w:vAlign w:val="center"/>
          </w:tcPr>
          <w:p w:rsidR="007B4818" w:rsidRDefault="00D73177">
            <w:pPr>
              <w:pStyle w:val="a"/>
              <w:numPr>
                <w:ilvl w:val="0"/>
                <w:numId w:val="0"/>
              </w:numPr>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游憩用</w:t>
            </w:r>
            <w:r>
              <w:rPr>
                <w:rFonts w:ascii="仿宋_GB2312" w:eastAsia="仿宋_GB2312" w:hAnsi="仿宋_GB2312" w:cs="仿宋_GB2312"/>
                <w:color w:val="000000" w:themeColor="text1"/>
                <w:szCs w:val="21"/>
              </w:rPr>
              <w:t>海</w:t>
            </w:r>
          </w:p>
        </w:tc>
        <w:tc>
          <w:tcPr>
            <w:tcW w:w="139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569"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r>
      <w:tr w:rsidR="007B4818">
        <w:trPr>
          <w:trHeight w:val="312"/>
        </w:trPr>
        <w:tc>
          <w:tcPr>
            <w:tcW w:w="2705" w:type="dxa"/>
            <w:gridSpan w:val="2"/>
            <w:vAlign w:val="center"/>
          </w:tcPr>
          <w:p w:rsidR="007B4818" w:rsidRDefault="00D73177">
            <w:pPr>
              <w:pStyle w:val="a"/>
              <w:numPr>
                <w:ilvl w:val="0"/>
                <w:numId w:val="0"/>
              </w:numPr>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特殊用海</w:t>
            </w:r>
          </w:p>
        </w:tc>
        <w:tc>
          <w:tcPr>
            <w:tcW w:w="139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569"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r>
      <w:tr w:rsidR="007B4818">
        <w:trPr>
          <w:trHeight w:val="312"/>
        </w:trPr>
        <w:tc>
          <w:tcPr>
            <w:tcW w:w="2705" w:type="dxa"/>
            <w:gridSpan w:val="2"/>
            <w:vAlign w:val="center"/>
          </w:tcPr>
          <w:p w:rsidR="007B4818" w:rsidRDefault="00D73177">
            <w:pPr>
              <w:pStyle w:val="a"/>
              <w:numPr>
                <w:ilvl w:val="0"/>
                <w:numId w:val="0"/>
              </w:numPr>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陆地水域</w:t>
            </w:r>
          </w:p>
        </w:tc>
        <w:tc>
          <w:tcPr>
            <w:tcW w:w="139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569"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r>
      <w:tr w:rsidR="007B4818">
        <w:trPr>
          <w:trHeight w:val="312"/>
        </w:trPr>
        <w:tc>
          <w:tcPr>
            <w:tcW w:w="2705" w:type="dxa"/>
            <w:gridSpan w:val="2"/>
            <w:vAlign w:val="center"/>
          </w:tcPr>
          <w:p w:rsidR="007B4818" w:rsidRDefault="00D73177">
            <w:pPr>
              <w:pStyle w:val="a"/>
              <w:numPr>
                <w:ilvl w:val="0"/>
                <w:numId w:val="0"/>
              </w:numPr>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其他土地</w:t>
            </w:r>
          </w:p>
        </w:tc>
        <w:tc>
          <w:tcPr>
            <w:tcW w:w="139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569"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r>
      <w:tr w:rsidR="007B4818">
        <w:trPr>
          <w:trHeight w:val="312"/>
        </w:trPr>
        <w:tc>
          <w:tcPr>
            <w:tcW w:w="2705" w:type="dxa"/>
            <w:gridSpan w:val="2"/>
            <w:vAlign w:val="center"/>
          </w:tcPr>
          <w:p w:rsidR="007B4818" w:rsidRDefault="00D73177">
            <w:pPr>
              <w:pStyle w:val="a"/>
              <w:numPr>
                <w:ilvl w:val="0"/>
                <w:numId w:val="0"/>
              </w:numPr>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其他海域</w:t>
            </w:r>
          </w:p>
        </w:tc>
        <w:tc>
          <w:tcPr>
            <w:tcW w:w="139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426"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c>
          <w:tcPr>
            <w:tcW w:w="1569" w:type="dxa"/>
          </w:tcPr>
          <w:p w:rsidR="007B4818" w:rsidRDefault="007B4818">
            <w:pPr>
              <w:pStyle w:val="a"/>
              <w:widowControl w:val="0"/>
              <w:numPr>
                <w:ilvl w:val="0"/>
                <w:numId w:val="0"/>
              </w:numPr>
              <w:jc w:val="both"/>
              <w:rPr>
                <w:rFonts w:ascii="仿宋_GB2312" w:eastAsia="仿宋_GB2312" w:hAnsi="仿宋_GB2312" w:cs="仿宋_GB2312"/>
                <w:color w:val="000000" w:themeColor="text1"/>
                <w:szCs w:val="21"/>
              </w:rPr>
            </w:pPr>
          </w:p>
        </w:tc>
      </w:tr>
    </w:tbl>
    <w:p w:rsidR="007B4818" w:rsidRDefault="00D73177">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注：1.城乡建设用地中的城镇、村庄是指城镇、村庄范围的建设用地，规划基期年数据采用“三</w:t>
      </w:r>
      <w:r>
        <w:rPr>
          <w:rFonts w:ascii="仿宋_GB2312" w:eastAsia="仿宋_GB2312" w:hAnsi="仿宋_GB2312" w:cs="仿宋_GB2312"/>
          <w:color w:val="000000" w:themeColor="text1"/>
          <w:szCs w:val="21"/>
        </w:rPr>
        <w:t>调</w:t>
      </w:r>
      <w:r>
        <w:rPr>
          <w:rFonts w:ascii="仿宋_GB2312" w:eastAsia="仿宋_GB2312" w:hAnsi="仿宋_GB2312" w:cs="仿宋_GB2312" w:hint="eastAsia"/>
          <w:color w:val="000000" w:themeColor="text1"/>
          <w:szCs w:val="21"/>
        </w:rPr>
        <w:t>”中的城市、建制镇、村庄用地数据。</w:t>
      </w:r>
    </w:p>
    <w:p w:rsidR="007B4818" w:rsidRDefault="00D73177">
      <w:pPr>
        <w:ind w:firstLineChars="200" w:firstLine="42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2.区域基础设施用地包括区域性交通运输用地、公用设施用地。</w:t>
      </w:r>
    </w:p>
    <w:p w:rsidR="007B4818" w:rsidRDefault="00D73177">
      <w:pPr>
        <w:ind w:firstLineChars="200" w:firstLine="420"/>
        <w:rPr>
          <w:color w:val="000000" w:themeColor="text1"/>
        </w:rPr>
      </w:pPr>
      <w:r>
        <w:rPr>
          <w:rFonts w:ascii="仿宋_GB2312" w:eastAsia="仿宋_GB2312" w:hAnsi="仿宋_GB2312" w:cs="仿宋_GB2312" w:hint="eastAsia"/>
          <w:color w:val="000000" w:themeColor="text1"/>
          <w:szCs w:val="21"/>
        </w:rPr>
        <w:t>3.其他建设用地是城乡建设用地、区域基础设施用地以外的建设用地，主要包括特殊用地、矿业用地等。</w:t>
      </w:r>
    </w:p>
    <w:p w:rsidR="007B4818" w:rsidRDefault="007B4818">
      <w:pPr>
        <w:rPr>
          <w:color w:val="000000" w:themeColor="text1"/>
        </w:rPr>
      </w:pPr>
    </w:p>
    <w:p w:rsidR="007B4818" w:rsidRDefault="007B4818">
      <w:pPr>
        <w:rPr>
          <w:color w:val="000000" w:themeColor="text1"/>
        </w:rPr>
      </w:pPr>
    </w:p>
    <w:p w:rsidR="007B4818" w:rsidRDefault="00D73177">
      <w:pPr>
        <w:pStyle w:val="a4"/>
        <w:spacing w:line="400" w:lineRule="exact"/>
        <w:ind w:firstLine="84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表D.3中心城区城镇建设用地结构规划表</w:t>
      </w:r>
    </w:p>
    <w:tbl>
      <w:tblPr>
        <w:tblStyle w:val="ad"/>
        <w:tblW w:w="8522" w:type="dxa"/>
        <w:tblLayout w:type="fixed"/>
        <w:tblLook w:val="04A0"/>
      </w:tblPr>
      <w:tblGrid>
        <w:gridCol w:w="1013"/>
        <w:gridCol w:w="3825"/>
        <w:gridCol w:w="1794"/>
        <w:gridCol w:w="1890"/>
      </w:tblGrid>
      <w:tr w:rsidR="007B4818">
        <w:tc>
          <w:tcPr>
            <w:tcW w:w="1013" w:type="dxa"/>
          </w:tcPr>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序号</w:t>
            </w:r>
          </w:p>
        </w:tc>
        <w:tc>
          <w:tcPr>
            <w:tcW w:w="3825" w:type="dxa"/>
          </w:tcPr>
          <w:p w:rsidR="007B4818" w:rsidRDefault="00D73177">
            <w:pPr>
              <w:pStyle w:val="a"/>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用地类型</w:t>
            </w:r>
          </w:p>
        </w:tc>
        <w:tc>
          <w:tcPr>
            <w:tcW w:w="1794" w:type="dxa"/>
          </w:tcPr>
          <w:p w:rsidR="007B4818" w:rsidRDefault="00D73177">
            <w:pPr>
              <w:pStyle w:val="a"/>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比例（%）</w:t>
            </w:r>
          </w:p>
        </w:tc>
        <w:tc>
          <w:tcPr>
            <w:tcW w:w="1890" w:type="dxa"/>
          </w:tcPr>
          <w:p w:rsidR="007B4818" w:rsidRDefault="00D73177">
            <w:pPr>
              <w:pStyle w:val="a"/>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面积（</w:t>
            </w:r>
            <w:r>
              <w:rPr>
                <w:rFonts w:ascii="仿宋_GB2312" w:eastAsia="仿宋_GB2312" w:hAnsi="仿宋_GB2312" w:cs="仿宋_GB2312" w:hint="eastAsia"/>
                <w:b/>
                <w:bCs/>
                <w:color w:val="000000" w:themeColor="text1"/>
                <w:szCs w:val="21"/>
              </w:rPr>
              <w:t>平方公里</w:t>
            </w:r>
            <w:r>
              <w:rPr>
                <w:rFonts w:ascii="仿宋_GB2312" w:eastAsia="仿宋_GB2312" w:hAnsi="仿宋_GB2312" w:cs="仿宋_GB2312" w:hint="eastAsia"/>
                <w:b/>
                <w:color w:val="000000" w:themeColor="text1"/>
                <w:szCs w:val="21"/>
              </w:rPr>
              <w:t>）</w:t>
            </w:r>
          </w:p>
        </w:tc>
      </w:tr>
      <w:tr w:rsidR="007B4818">
        <w:tc>
          <w:tcPr>
            <w:tcW w:w="1013" w:type="dxa"/>
            <w:vAlign w:val="center"/>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w:t>
            </w:r>
          </w:p>
        </w:tc>
        <w:tc>
          <w:tcPr>
            <w:tcW w:w="3825" w:type="dxa"/>
            <w:vAlign w:val="center"/>
          </w:tcPr>
          <w:p w:rsidR="007B4818" w:rsidRDefault="00D73177">
            <w:pPr>
              <w:pStyle w:val="a"/>
              <w:numPr>
                <w:ilvl w:val="0"/>
                <w:numId w:val="0"/>
              </w:numPr>
              <w:snapToGrid w:val="0"/>
              <w:spacing w:line="240" w:lineRule="atLeast"/>
              <w:ind w:firstLineChars="200" w:firstLine="420"/>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居住用地</w:t>
            </w:r>
          </w:p>
        </w:tc>
        <w:tc>
          <w:tcPr>
            <w:tcW w:w="1794" w:type="dxa"/>
          </w:tcPr>
          <w:p w:rsidR="007B4818" w:rsidRDefault="007B4818">
            <w:pPr>
              <w:pStyle w:val="a"/>
              <w:widowControl w:val="0"/>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890" w:type="dxa"/>
          </w:tcPr>
          <w:p w:rsidR="007B4818" w:rsidRDefault="007B4818">
            <w:pPr>
              <w:pStyle w:val="a"/>
              <w:widowControl w:val="0"/>
              <w:numPr>
                <w:ilvl w:val="0"/>
                <w:numId w:val="0"/>
              </w:numPr>
              <w:snapToGrid w:val="0"/>
              <w:spacing w:line="240" w:lineRule="atLeast"/>
              <w:jc w:val="both"/>
              <w:rPr>
                <w:rFonts w:ascii="仿宋_GB2312" w:eastAsia="仿宋_GB2312" w:hAnsi="仿宋_GB2312" w:cs="仿宋_GB2312"/>
                <w:color w:val="000000" w:themeColor="text1"/>
                <w:szCs w:val="21"/>
              </w:rPr>
            </w:pPr>
          </w:p>
        </w:tc>
      </w:tr>
      <w:tr w:rsidR="007B4818">
        <w:tc>
          <w:tcPr>
            <w:tcW w:w="1013" w:type="dxa"/>
            <w:vAlign w:val="center"/>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p>
        </w:tc>
        <w:tc>
          <w:tcPr>
            <w:tcW w:w="3825" w:type="dxa"/>
            <w:vAlign w:val="center"/>
          </w:tcPr>
          <w:p w:rsidR="007B4818" w:rsidRDefault="00D73177">
            <w:pPr>
              <w:pStyle w:val="a"/>
              <w:numPr>
                <w:ilvl w:val="0"/>
                <w:numId w:val="0"/>
              </w:numPr>
              <w:snapToGrid w:val="0"/>
              <w:spacing w:line="240" w:lineRule="atLeast"/>
              <w:ind w:firstLineChars="200" w:firstLine="420"/>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公共管理与公共服务用地</w:t>
            </w:r>
          </w:p>
        </w:tc>
        <w:tc>
          <w:tcPr>
            <w:tcW w:w="1794" w:type="dxa"/>
          </w:tcPr>
          <w:p w:rsidR="007B4818" w:rsidRDefault="007B4818">
            <w:pPr>
              <w:pStyle w:val="a"/>
              <w:widowControl w:val="0"/>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890" w:type="dxa"/>
          </w:tcPr>
          <w:p w:rsidR="007B4818" w:rsidRDefault="007B4818">
            <w:pPr>
              <w:pStyle w:val="a"/>
              <w:widowControl w:val="0"/>
              <w:numPr>
                <w:ilvl w:val="0"/>
                <w:numId w:val="0"/>
              </w:numPr>
              <w:snapToGrid w:val="0"/>
              <w:spacing w:line="240" w:lineRule="atLeast"/>
              <w:jc w:val="both"/>
              <w:rPr>
                <w:rFonts w:ascii="仿宋_GB2312" w:eastAsia="仿宋_GB2312" w:hAnsi="仿宋_GB2312" w:cs="仿宋_GB2312"/>
                <w:color w:val="000000" w:themeColor="text1"/>
                <w:szCs w:val="21"/>
              </w:rPr>
            </w:pPr>
          </w:p>
        </w:tc>
      </w:tr>
      <w:tr w:rsidR="007B4818">
        <w:tc>
          <w:tcPr>
            <w:tcW w:w="1013" w:type="dxa"/>
            <w:vAlign w:val="center"/>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3</w:t>
            </w:r>
          </w:p>
        </w:tc>
        <w:tc>
          <w:tcPr>
            <w:tcW w:w="3825" w:type="dxa"/>
            <w:vAlign w:val="center"/>
          </w:tcPr>
          <w:p w:rsidR="007B4818" w:rsidRDefault="00D73177">
            <w:pPr>
              <w:pStyle w:val="a"/>
              <w:numPr>
                <w:ilvl w:val="0"/>
                <w:numId w:val="0"/>
              </w:numPr>
              <w:snapToGrid w:val="0"/>
              <w:spacing w:line="240" w:lineRule="atLeast"/>
              <w:ind w:firstLineChars="200" w:firstLine="420"/>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商业服务业用地</w:t>
            </w:r>
          </w:p>
        </w:tc>
        <w:tc>
          <w:tcPr>
            <w:tcW w:w="1794" w:type="dxa"/>
          </w:tcPr>
          <w:p w:rsidR="007B4818" w:rsidRDefault="007B4818">
            <w:pPr>
              <w:pStyle w:val="a"/>
              <w:widowControl w:val="0"/>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890" w:type="dxa"/>
          </w:tcPr>
          <w:p w:rsidR="007B4818" w:rsidRDefault="007B4818">
            <w:pPr>
              <w:pStyle w:val="a"/>
              <w:widowControl w:val="0"/>
              <w:numPr>
                <w:ilvl w:val="0"/>
                <w:numId w:val="0"/>
              </w:numPr>
              <w:snapToGrid w:val="0"/>
              <w:spacing w:line="240" w:lineRule="atLeast"/>
              <w:jc w:val="both"/>
              <w:rPr>
                <w:rFonts w:ascii="仿宋_GB2312" w:eastAsia="仿宋_GB2312" w:hAnsi="仿宋_GB2312" w:cs="仿宋_GB2312"/>
                <w:color w:val="000000" w:themeColor="text1"/>
                <w:szCs w:val="21"/>
              </w:rPr>
            </w:pPr>
          </w:p>
        </w:tc>
      </w:tr>
      <w:tr w:rsidR="007B4818">
        <w:tc>
          <w:tcPr>
            <w:tcW w:w="1013" w:type="dxa"/>
            <w:vAlign w:val="center"/>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4</w:t>
            </w:r>
          </w:p>
        </w:tc>
        <w:tc>
          <w:tcPr>
            <w:tcW w:w="3825" w:type="dxa"/>
            <w:vAlign w:val="center"/>
          </w:tcPr>
          <w:p w:rsidR="007B4818" w:rsidRDefault="00D73177">
            <w:pPr>
              <w:pStyle w:val="a"/>
              <w:numPr>
                <w:ilvl w:val="0"/>
                <w:numId w:val="0"/>
              </w:numPr>
              <w:snapToGrid w:val="0"/>
              <w:spacing w:line="240" w:lineRule="atLeast"/>
              <w:ind w:firstLineChars="200" w:firstLine="420"/>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工矿用地</w:t>
            </w:r>
          </w:p>
        </w:tc>
        <w:tc>
          <w:tcPr>
            <w:tcW w:w="1794" w:type="dxa"/>
          </w:tcPr>
          <w:p w:rsidR="007B4818" w:rsidRDefault="007B4818">
            <w:pPr>
              <w:pStyle w:val="a"/>
              <w:widowControl w:val="0"/>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890" w:type="dxa"/>
          </w:tcPr>
          <w:p w:rsidR="007B4818" w:rsidRDefault="007B4818">
            <w:pPr>
              <w:pStyle w:val="a"/>
              <w:widowControl w:val="0"/>
              <w:numPr>
                <w:ilvl w:val="0"/>
                <w:numId w:val="0"/>
              </w:numPr>
              <w:snapToGrid w:val="0"/>
              <w:spacing w:line="240" w:lineRule="atLeast"/>
              <w:jc w:val="both"/>
              <w:rPr>
                <w:rFonts w:ascii="仿宋_GB2312" w:eastAsia="仿宋_GB2312" w:hAnsi="仿宋_GB2312" w:cs="仿宋_GB2312"/>
                <w:color w:val="000000" w:themeColor="text1"/>
                <w:szCs w:val="21"/>
              </w:rPr>
            </w:pPr>
          </w:p>
        </w:tc>
      </w:tr>
      <w:tr w:rsidR="007B4818">
        <w:tc>
          <w:tcPr>
            <w:tcW w:w="1013" w:type="dxa"/>
            <w:vAlign w:val="center"/>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5</w:t>
            </w:r>
          </w:p>
        </w:tc>
        <w:tc>
          <w:tcPr>
            <w:tcW w:w="3825" w:type="dxa"/>
            <w:vAlign w:val="center"/>
          </w:tcPr>
          <w:p w:rsidR="007B4818" w:rsidRDefault="00D73177">
            <w:pPr>
              <w:pStyle w:val="a"/>
              <w:numPr>
                <w:ilvl w:val="0"/>
                <w:numId w:val="0"/>
              </w:numPr>
              <w:snapToGrid w:val="0"/>
              <w:spacing w:line="240" w:lineRule="atLeast"/>
              <w:ind w:firstLineChars="200" w:firstLine="420"/>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仓储用地</w:t>
            </w:r>
          </w:p>
        </w:tc>
        <w:tc>
          <w:tcPr>
            <w:tcW w:w="1794" w:type="dxa"/>
          </w:tcPr>
          <w:p w:rsidR="007B4818" w:rsidRDefault="007B4818">
            <w:pPr>
              <w:pStyle w:val="a"/>
              <w:widowControl w:val="0"/>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890" w:type="dxa"/>
          </w:tcPr>
          <w:p w:rsidR="007B4818" w:rsidRDefault="007B4818">
            <w:pPr>
              <w:pStyle w:val="a"/>
              <w:widowControl w:val="0"/>
              <w:numPr>
                <w:ilvl w:val="0"/>
                <w:numId w:val="0"/>
              </w:numPr>
              <w:snapToGrid w:val="0"/>
              <w:spacing w:line="240" w:lineRule="atLeast"/>
              <w:jc w:val="both"/>
              <w:rPr>
                <w:rFonts w:ascii="仿宋_GB2312" w:eastAsia="仿宋_GB2312" w:hAnsi="仿宋_GB2312" w:cs="仿宋_GB2312"/>
                <w:color w:val="000000" w:themeColor="text1"/>
                <w:szCs w:val="21"/>
              </w:rPr>
            </w:pPr>
          </w:p>
        </w:tc>
      </w:tr>
      <w:tr w:rsidR="007B4818">
        <w:tc>
          <w:tcPr>
            <w:tcW w:w="1013" w:type="dxa"/>
            <w:vAlign w:val="center"/>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6</w:t>
            </w:r>
          </w:p>
        </w:tc>
        <w:tc>
          <w:tcPr>
            <w:tcW w:w="3825" w:type="dxa"/>
            <w:vAlign w:val="center"/>
          </w:tcPr>
          <w:p w:rsidR="007B4818" w:rsidRDefault="00D73177">
            <w:pPr>
              <w:pStyle w:val="a"/>
              <w:numPr>
                <w:ilvl w:val="0"/>
                <w:numId w:val="0"/>
              </w:numPr>
              <w:snapToGrid w:val="0"/>
              <w:spacing w:line="240" w:lineRule="atLeast"/>
              <w:ind w:firstLineChars="200" w:firstLine="420"/>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交通运输用地</w:t>
            </w:r>
          </w:p>
        </w:tc>
        <w:tc>
          <w:tcPr>
            <w:tcW w:w="1794" w:type="dxa"/>
          </w:tcPr>
          <w:p w:rsidR="007B4818" w:rsidRDefault="007B4818">
            <w:pPr>
              <w:pStyle w:val="a"/>
              <w:widowControl w:val="0"/>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890" w:type="dxa"/>
          </w:tcPr>
          <w:p w:rsidR="007B4818" w:rsidRDefault="007B4818">
            <w:pPr>
              <w:pStyle w:val="a"/>
              <w:widowControl w:val="0"/>
              <w:numPr>
                <w:ilvl w:val="0"/>
                <w:numId w:val="0"/>
              </w:numPr>
              <w:snapToGrid w:val="0"/>
              <w:spacing w:line="240" w:lineRule="atLeast"/>
              <w:jc w:val="both"/>
              <w:rPr>
                <w:rFonts w:ascii="仿宋_GB2312" w:eastAsia="仿宋_GB2312" w:hAnsi="仿宋_GB2312" w:cs="仿宋_GB2312"/>
                <w:color w:val="000000" w:themeColor="text1"/>
                <w:szCs w:val="21"/>
              </w:rPr>
            </w:pPr>
          </w:p>
        </w:tc>
      </w:tr>
      <w:tr w:rsidR="007B4818">
        <w:tc>
          <w:tcPr>
            <w:tcW w:w="1013" w:type="dxa"/>
            <w:vAlign w:val="center"/>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7</w:t>
            </w:r>
          </w:p>
        </w:tc>
        <w:tc>
          <w:tcPr>
            <w:tcW w:w="3825" w:type="dxa"/>
            <w:vAlign w:val="center"/>
          </w:tcPr>
          <w:p w:rsidR="007B4818" w:rsidRDefault="00D73177">
            <w:pPr>
              <w:pStyle w:val="a"/>
              <w:numPr>
                <w:ilvl w:val="0"/>
                <w:numId w:val="0"/>
              </w:numPr>
              <w:snapToGrid w:val="0"/>
              <w:spacing w:line="240" w:lineRule="atLeast"/>
              <w:ind w:firstLineChars="200" w:firstLine="420"/>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公用设施用地</w:t>
            </w:r>
          </w:p>
        </w:tc>
        <w:tc>
          <w:tcPr>
            <w:tcW w:w="1794" w:type="dxa"/>
          </w:tcPr>
          <w:p w:rsidR="007B4818" w:rsidRDefault="007B4818">
            <w:pPr>
              <w:pStyle w:val="a"/>
              <w:widowControl w:val="0"/>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890" w:type="dxa"/>
          </w:tcPr>
          <w:p w:rsidR="007B4818" w:rsidRDefault="007B4818">
            <w:pPr>
              <w:pStyle w:val="a"/>
              <w:widowControl w:val="0"/>
              <w:numPr>
                <w:ilvl w:val="0"/>
                <w:numId w:val="0"/>
              </w:numPr>
              <w:snapToGrid w:val="0"/>
              <w:spacing w:line="240" w:lineRule="atLeast"/>
              <w:jc w:val="both"/>
              <w:rPr>
                <w:rFonts w:ascii="仿宋_GB2312" w:eastAsia="仿宋_GB2312" w:hAnsi="仿宋_GB2312" w:cs="仿宋_GB2312"/>
                <w:color w:val="000000" w:themeColor="text1"/>
                <w:szCs w:val="21"/>
              </w:rPr>
            </w:pPr>
          </w:p>
        </w:tc>
      </w:tr>
      <w:tr w:rsidR="007B4818">
        <w:tc>
          <w:tcPr>
            <w:tcW w:w="1013" w:type="dxa"/>
            <w:vAlign w:val="center"/>
          </w:tcPr>
          <w:p w:rsidR="007B4818" w:rsidRDefault="00D73177">
            <w:pPr>
              <w:pStyle w:val="a"/>
              <w:widowControl w:val="0"/>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8</w:t>
            </w:r>
          </w:p>
        </w:tc>
        <w:tc>
          <w:tcPr>
            <w:tcW w:w="3825" w:type="dxa"/>
            <w:vAlign w:val="center"/>
          </w:tcPr>
          <w:p w:rsidR="007B4818" w:rsidRDefault="00D73177">
            <w:pPr>
              <w:pStyle w:val="a"/>
              <w:numPr>
                <w:ilvl w:val="0"/>
                <w:numId w:val="0"/>
              </w:numPr>
              <w:snapToGrid w:val="0"/>
              <w:spacing w:line="240" w:lineRule="atLeast"/>
              <w:ind w:firstLineChars="200" w:firstLine="420"/>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绿地与开敞空间用地</w:t>
            </w:r>
          </w:p>
        </w:tc>
        <w:tc>
          <w:tcPr>
            <w:tcW w:w="1794"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890"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r>
      <w:tr w:rsidR="007B4818">
        <w:tc>
          <w:tcPr>
            <w:tcW w:w="1013" w:type="dxa"/>
            <w:vAlign w:val="center"/>
          </w:tcPr>
          <w:p w:rsidR="007B4818" w:rsidRDefault="00D73177">
            <w:pPr>
              <w:pStyle w:val="a"/>
              <w:widowControl w:val="0"/>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9</w:t>
            </w:r>
          </w:p>
        </w:tc>
        <w:tc>
          <w:tcPr>
            <w:tcW w:w="3825" w:type="dxa"/>
            <w:vAlign w:val="center"/>
          </w:tcPr>
          <w:p w:rsidR="007B4818" w:rsidRDefault="00D73177">
            <w:pPr>
              <w:pStyle w:val="a"/>
              <w:numPr>
                <w:ilvl w:val="0"/>
                <w:numId w:val="0"/>
              </w:numPr>
              <w:snapToGrid w:val="0"/>
              <w:spacing w:line="240" w:lineRule="atLeast"/>
              <w:ind w:firstLineChars="200" w:firstLine="420"/>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特殊用地</w:t>
            </w:r>
          </w:p>
        </w:tc>
        <w:tc>
          <w:tcPr>
            <w:tcW w:w="1794"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890"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r>
      <w:tr w:rsidR="007B4818">
        <w:tc>
          <w:tcPr>
            <w:tcW w:w="1013" w:type="dxa"/>
            <w:vAlign w:val="center"/>
          </w:tcPr>
          <w:p w:rsidR="007B4818" w:rsidRDefault="00D73177">
            <w:pPr>
              <w:pStyle w:val="a"/>
              <w:widowControl w:val="0"/>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10</w:t>
            </w:r>
          </w:p>
        </w:tc>
        <w:tc>
          <w:tcPr>
            <w:tcW w:w="3825" w:type="dxa"/>
            <w:vAlign w:val="center"/>
          </w:tcPr>
          <w:p w:rsidR="007B4818" w:rsidRDefault="00D73177">
            <w:pPr>
              <w:pStyle w:val="a"/>
              <w:numPr>
                <w:ilvl w:val="0"/>
                <w:numId w:val="0"/>
              </w:numPr>
              <w:snapToGrid w:val="0"/>
              <w:spacing w:line="240" w:lineRule="atLeast"/>
              <w:ind w:firstLineChars="200" w:firstLine="420"/>
              <w:jc w:val="both"/>
              <w:rPr>
                <w:rFonts w:ascii="仿宋_GB2312" w:eastAsia="仿宋_GB2312" w:hAnsi="仿宋_GB2312" w:cs="仿宋_GB2312"/>
                <w:color w:val="000000" w:themeColor="text1"/>
                <w:szCs w:val="21"/>
              </w:rPr>
            </w:pPr>
            <w:r>
              <w:rPr>
                <w:rFonts w:ascii="仿宋_GB2312" w:eastAsia="仿宋_GB2312" w:hAnsi="仿宋_GB2312" w:cs="仿宋_GB2312"/>
                <w:color w:val="000000" w:themeColor="text1"/>
                <w:szCs w:val="21"/>
              </w:rPr>
              <w:t>留白</w:t>
            </w:r>
            <w:r>
              <w:rPr>
                <w:rFonts w:ascii="仿宋_GB2312" w:eastAsia="仿宋_GB2312" w:hAnsi="仿宋_GB2312" w:cs="仿宋_GB2312" w:hint="eastAsia"/>
                <w:color w:val="000000" w:themeColor="text1"/>
                <w:szCs w:val="21"/>
              </w:rPr>
              <w:t>用地</w:t>
            </w:r>
          </w:p>
        </w:tc>
        <w:tc>
          <w:tcPr>
            <w:tcW w:w="1794"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890"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r>
      <w:tr w:rsidR="007B4818">
        <w:tc>
          <w:tcPr>
            <w:tcW w:w="1013" w:type="dxa"/>
          </w:tcPr>
          <w:p w:rsidR="007B4818" w:rsidRDefault="007B4818">
            <w:pPr>
              <w:pStyle w:val="a"/>
              <w:widowControl w:val="0"/>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3825" w:type="dxa"/>
            <w:vAlign w:val="center"/>
          </w:tcPr>
          <w:p w:rsidR="007B4818" w:rsidRDefault="00D73177">
            <w:pPr>
              <w:pStyle w:val="a"/>
              <w:numPr>
                <w:ilvl w:val="0"/>
                <w:numId w:val="0"/>
              </w:numPr>
              <w:snapToGrid w:val="0"/>
              <w:spacing w:line="240" w:lineRule="atLeast"/>
              <w:ind w:firstLineChars="200" w:firstLine="420"/>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合计</w:t>
            </w:r>
          </w:p>
        </w:tc>
        <w:tc>
          <w:tcPr>
            <w:tcW w:w="1794"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890"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r>
    </w:tbl>
    <w:p w:rsidR="007B4818" w:rsidRDefault="007B4818">
      <w:pPr>
        <w:rPr>
          <w:rFonts w:ascii="仿宋" w:eastAsia="仿宋" w:hAnsi="仿宋" w:cs="宋体"/>
          <w:b/>
          <w:color w:val="000000" w:themeColor="text1"/>
          <w:sz w:val="28"/>
          <w:szCs w:val="28"/>
        </w:rPr>
      </w:pPr>
    </w:p>
    <w:p w:rsidR="007B4818" w:rsidRDefault="00D73177">
      <w:pPr>
        <w:keepNext/>
        <w:spacing w:line="4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表D.4耕地、永久基本农田规划指标分解表</w:t>
      </w:r>
    </w:p>
    <w:p w:rsidR="007B4818" w:rsidRDefault="00D73177">
      <w:pPr>
        <w:keepNext/>
        <w:ind w:right="442"/>
        <w:jc w:val="right"/>
        <w:rPr>
          <w:rFonts w:ascii="仿宋_GB2312" w:eastAsia="仿宋_GB2312" w:hAnsi="仿宋_GB2312" w:cs="仿宋_GB2312"/>
          <w:bCs/>
          <w:color w:val="000000" w:themeColor="text1"/>
          <w:szCs w:val="21"/>
        </w:rPr>
      </w:pPr>
      <w:r>
        <w:rPr>
          <w:rFonts w:ascii="仿宋_GB2312" w:eastAsia="仿宋_GB2312" w:hAnsi="仿宋_GB2312" w:cs="仿宋_GB2312" w:hint="eastAsia"/>
          <w:color w:val="000000" w:themeColor="text1"/>
          <w:szCs w:val="21"/>
        </w:rPr>
        <w:t>单位：平方公里</w:t>
      </w:r>
    </w:p>
    <w:tbl>
      <w:tblPr>
        <w:tblStyle w:val="ad"/>
        <w:tblW w:w="8522" w:type="dxa"/>
        <w:jc w:val="center"/>
        <w:tblLayout w:type="fixed"/>
        <w:tblLook w:val="04A0"/>
      </w:tblPr>
      <w:tblGrid>
        <w:gridCol w:w="1057"/>
        <w:gridCol w:w="1926"/>
        <w:gridCol w:w="1770"/>
        <w:gridCol w:w="1891"/>
        <w:gridCol w:w="1878"/>
      </w:tblGrid>
      <w:tr w:rsidR="007B4818">
        <w:trPr>
          <w:jc w:val="center"/>
        </w:trPr>
        <w:tc>
          <w:tcPr>
            <w:tcW w:w="1057" w:type="dxa"/>
            <w:vMerge w:val="restart"/>
            <w:vAlign w:val="center"/>
          </w:tcPr>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行政区</w:t>
            </w:r>
          </w:p>
        </w:tc>
        <w:tc>
          <w:tcPr>
            <w:tcW w:w="1926" w:type="dxa"/>
            <w:vMerge w:val="restart"/>
            <w:vAlign w:val="center"/>
          </w:tcPr>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基期年耕地面积</w:t>
            </w:r>
          </w:p>
        </w:tc>
        <w:tc>
          <w:tcPr>
            <w:tcW w:w="3661" w:type="dxa"/>
            <w:gridSpan w:val="2"/>
            <w:vAlign w:val="center"/>
          </w:tcPr>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耕地保有量</w:t>
            </w:r>
          </w:p>
        </w:tc>
        <w:tc>
          <w:tcPr>
            <w:tcW w:w="1878" w:type="dxa"/>
            <w:vMerge w:val="restart"/>
            <w:vAlign w:val="center"/>
          </w:tcPr>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永久基本农田保护面积</w:t>
            </w:r>
          </w:p>
        </w:tc>
      </w:tr>
      <w:tr w:rsidR="007B4818">
        <w:trPr>
          <w:jc w:val="center"/>
        </w:trPr>
        <w:tc>
          <w:tcPr>
            <w:tcW w:w="1057" w:type="dxa"/>
            <w:vMerge/>
            <w:vAlign w:val="center"/>
          </w:tcPr>
          <w:p w:rsidR="007B4818" w:rsidRDefault="007B4818">
            <w:pPr>
              <w:pStyle w:val="a"/>
              <w:widowControl w:val="0"/>
              <w:numPr>
                <w:ilvl w:val="0"/>
                <w:numId w:val="0"/>
              </w:numPr>
              <w:snapToGrid w:val="0"/>
              <w:spacing w:line="240" w:lineRule="atLeast"/>
              <w:jc w:val="both"/>
              <w:rPr>
                <w:rFonts w:ascii="仿宋_GB2312" w:eastAsia="仿宋_GB2312" w:hAnsi="仿宋_GB2312" w:cs="仿宋_GB2312"/>
                <w:b/>
                <w:color w:val="000000" w:themeColor="text1"/>
                <w:szCs w:val="21"/>
              </w:rPr>
            </w:pPr>
          </w:p>
        </w:tc>
        <w:tc>
          <w:tcPr>
            <w:tcW w:w="1926" w:type="dxa"/>
            <w:vMerge/>
            <w:vAlign w:val="center"/>
          </w:tcPr>
          <w:p w:rsidR="007B4818" w:rsidRDefault="007B4818">
            <w:pPr>
              <w:pStyle w:val="a"/>
              <w:widowControl w:val="0"/>
              <w:numPr>
                <w:ilvl w:val="0"/>
                <w:numId w:val="0"/>
              </w:numPr>
              <w:snapToGrid w:val="0"/>
              <w:spacing w:line="240" w:lineRule="atLeast"/>
              <w:jc w:val="both"/>
              <w:rPr>
                <w:rFonts w:ascii="仿宋_GB2312" w:eastAsia="仿宋_GB2312" w:hAnsi="仿宋_GB2312" w:cs="仿宋_GB2312"/>
                <w:b/>
                <w:color w:val="000000" w:themeColor="text1"/>
                <w:szCs w:val="21"/>
              </w:rPr>
            </w:pPr>
          </w:p>
        </w:tc>
        <w:tc>
          <w:tcPr>
            <w:tcW w:w="1770" w:type="dxa"/>
            <w:vAlign w:val="center"/>
          </w:tcPr>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近期目标年</w:t>
            </w:r>
          </w:p>
        </w:tc>
        <w:tc>
          <w:tcPr>
            <w:tcW w:w="1891" w:type="dxa"/>
            <w:vAlign w:val="center"/>
          </w:tcPr>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规划目标年</w:t>
            </w:r>
          </w:p>
        </w:tc>
        <w:tc>
          <w:tcPr>
            <w:tcW w:w="1878" w:type="dxa"/>
            <w:vMerge/>
            <w:vAlign w:val="center"/>
          </w:tcPr>
          <w:p w:rsidR="007B4818" w:rsidRDefault="007B4818">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p>
        </w:tc>
      </w:tr>
      <w:tr w:rsidR="007B4818">
        <w:trPr>
          <w:jc w:val="center"/>
        </w:trPr>
        <w:tc>
          <w:tcPr>
            <w:tcW w:w="1057" w:type="dxa"/>
            <w:vAlign w:val="center"/>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XX</w:t>
            </w:r>
          </w:p>
        </w:tc>
        <w:tc>
          <w:tcPr>
            <w:tcW w:w="1926"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770"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891"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878"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r>
      <w:tr w:rsidR="007B4818">
        <w:trPr>
          <w:jc w:val="center"/>
        </w:trPr>
        <w:tc>
          <w:tcPr>
            <w:tcW w:w="1057" w:type="dxa"/>
            <w:vAlign w:val="center"/>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XX</w:t>
            </w:r>
          </w:p>
        </w:tc>
        <w:tc>
          <w:tcPr>
            <w:tcW w:w="1926"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770"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891"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878"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r>
      <w:tr w:rsidR="007B4818">
        <w:trPr>
          <w:jc w:val="center"/>
        </w:trPr>
        <w:tc>
          <w:tcPr>
            <w:tcW w:w="1057" w:type="dxa"/>
            <w:vAlign w:val="center"/>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w:t>
            </w:r>
          </w:p>
        </w:tc>
        <w:tc>
          <w:tcPr>
            <w:tcW w:w="1926"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770"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891"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878"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r>
      <w:tr w:rsidR="007B4818">
        <w:trPr>
          <w:jc w:val="center"/>
        </w:trPr>
        <w:tc>
          <w:tcPr>
            <w:tcW w:w="1057" w:type="dxa"/>
            <w:vAlign w:val="center"/>
          </w:tcPr>
          <w:p w:rsidR="007B4818" w:rsidRDefault="00D73177">
            <w:pPr>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合计</w:t>
            </w:r>
          </w:p>
        </w:tc>
        <w:tc>
          <w:tcPr>
            <w:tcW w:w="1926" w:type="dxa"/>
            <w:vAlign w:val="center"/>
          </w:tcPr>
          <w:p w:rsidR="007B4818" w:rsidRDefault="007B4818">
            <w:pPr>
              <w:rPr>
                <w:rFonts w:ascii="仿宋_GB2312" w:eastAsia="仿宋_GB2312" w:hAnsi="仿宋_GB2312" w:cs="仿宋_GB2312"/>
                <w:color w:val="000000" w:themeColor="text1"/>
                <w:szCs w:val="21"/>
              </w:rPr>
            </w:pPr>
          </w:p>
        </w:tc>
        <w:tc>
          <w:tcPr>
            <w:tcW w:w="1770" w:type="dxa"/>
            <w:vAlign w:val="center"/>
          </w:tcPr>
          <w:p w:rsidR="007B4818" w:rsidRDefault="007B4818">
            <w:pPr>
              <w:rPr>
                <w:rFonts w:ascii="仿宋_GB2312" w:eastAsia="仿宋_GB2312" w:hAnsi="仿宋_GB2312" w:cs="仿宋_GB2312"/>
                <w:color w:val="000000" w:themeColor="text1"/>
                <w:szCs w:val="21"/>
              </w:rPr>
            </w:pPr>
          </w:p>
        </w:tc>
        <w:tc>
          <w:tcPr>
            <w:tcW w:w="1891" w:type="dxa"/>
            <w:vAlign w:val="center"/>
          </w:tcPr>
          <w:p w:rsidR="007B4818" w:rsidRDefault="007B4818">
            <w:pPr>
              <w:rPr>
                <w:rFonts w:ascii="仿宋_GB2312" w:eastAsia="仿宋_GB2312" w:hAnsi="仿宋_GB2312" w:cs="仿宋_GB2312"/>
                <w:color w:val="000000" w:themeColor="text1"/>
                <w:szCs w:val="21"/>
              </w:rPr>
            </w:pPr>
          </w:p>
        </w:tc>
        <w:tc>
          <w:tcPr>
            <w:tcW w:w="1878" w:type="dxa"/>
            <w:vAlign w:val="center"/>
          </w:tcPr>
          <w:p w:rsidR="007B4818" w:rsidRDefault="007B4818">
            <w:pPr>
              <w:rPr>
                <w:rFonts w:ascii="仿宋_GB2312" w:eastAsia="仿宋_GB2312" w:hAnsi="仿宋_GB2312" w:cs="仿宋_GB2312"/>
                <w:color w:val="000000" w:themeColor="text1"/>
                <w:szCs w:val="21"/>
              </w:rPr>
            </w:pPr>
          </w:p>
        </w:tc>
      </w:tr>
    </w:tbl>
    <w:p w:rsidR="007B4818" w:rsidRDefault="007B4818">
      <w:pPr>
        <w:rPr>
          <w:rFonts w:ascii="仿宋" w:eastAsia="仿宋" w:hAnsi="仿宋" w:cs="宋体"/>
          <w:b/>
          <w:color w:val="000000" w:themeColor="text1"/>
          <w:sz w:val="28"/>
          <w:szCs w:val="28"/>
        </w:rPr>
      </w:pPr>
    </w:p>
    <w:p w:rsidR="007B4818" w:rsidRDefault="00D73177">
      <w:pPr>
        <w:keepNext/>
        <w:spacing w:line="4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表D.5林地保有量指标分解表</w:t>
      </w:r>
    </w:p>
    <w:p w:rsidR="007B4818" w:rsidRDefault="00D73177">
      <w:pPr>
        <w:keepNext/>
        <w:ind w:right="442"/>
        <w:jc w:val="right"/>
        <w:rPr>
          <w:rFonts w:ascii="仿宋_GB2312" w:eastAsia="仿宋_GB2312" w:hAnsi="仿宋_GB2312" w:cs="仿宋_GB2312"/>
          <w:bCs/>
          <w:color w:val="000000" w:themeColor="text1"/>
          <w:szCs w:val="21"/>
        </w:rPr>
      </w:pPr>
      <w:r>
        <w:rPr>
          <w:rFonts w:ascii="仿宋_GB2312" w:eastAsia="仿宋_GB2312" w:hAnsi="仿宋_GB2312" w:cs="仿宋_GB2312" w:hint="eastAsia"/>
          <w:color w:val="000000" w:themeColor="text1"/>
          <w:szCs w:val="21"/>
        </w:rPr>
        <w:t>单位：平方公里</w:t>
      </w:r>
    </w:p>
    <w:tbl>
      <w:tblPr>
        <w:tblStyle w:val="ad"/>
        <w:tblW w:w="8522" w:type="dxa"/>
        <w:jc w:val="center"/>
        <w:tblLayout w:type="fixed"/>
        <w:tblLook w:val="04A0"/>
      </w:tblPr>
      <w:tblGrid>
        <w:gridCol w:w="1059"/>
        <w:gridCol w:w="2366"/>
        <w:gridCol w:w="2549"/>
        <w:gridCol w:w="2548"/>
      </w:tblGrid>
      <w:tr w:rsidR="007B4818">
        <w:trPr>
          <w:jc w:val="center"/>
        </w:trPr>
        <w:tc>
          <w:tcPr>
            <w:tcW w:w="1059" w:type="dxa"/>
            <w:vMerge w:val="restart"/>
            <w:vAlign w:val="center"/>
          </w:tcPr>
          <w:p w:rsidR="007B4818" w:rsidRDefault="00D73177">
            <w:pPr>
              <w:pStyle w:val="a"/>
              <w:widowControl w:val="0"/>
              <w:numPr>
                <w:ilvl w:val="0"/>
                <w:numId w:val="0"/>
              </w:numPr>
              <w:snapToGrid w:val="0"/>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行政区</w:t>
            </w:r>
          </w:p>
        </w:tc>
        <w:tc>
          <w:tcPr>
            <w:tcW w:w="2366" w:type="dxa"/>
            <w:vMerge w:val="restart"/>
            <w:vAlign w:val="center"/>
          </w:tcPr>
          <w:p w:rsidR="007B4818" w:rsidRDefault="00D73177">
            <w:pPr>
              <w:pStyle w:val="a"/>
              <w:widowControl w:val="0"/>
              <w:numPr>
                <w:ilvl w:val="0"/>
                <w:numId w:val="0"/>
              </w:numPr>
              <w:snapToGrid w:val="0"/>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基期年林地面积</w:t>
            </w:r>
          </w:p>
        </w:tc>
        <w:tc>
          <w:tcPr>
            <w:tcW w:w="5097" w:type="dxa"/>
            <w:gridSpan w:val="2"/>
            <w:vAlign w:val="center"/>
          </w:tcPr>
          <w:p w:rsidR="007B4818" w:rsidRDefault="00D73177">
            <w:pPr>
              <w:pStyle w:val="a"/>
              <w:widowControl w:val="0"/>
              <w:numPr>
                <w:ilvl w:val="0"/>
                <w:numId w:val="0"/>
              </w:numPr>
              <w:snapToGrid w:val="0"/>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林地保有量</w:t>
            </w:r>
          </w:p>
        </w:tc>
      </w:tr>
      <w:tr w:rsidR="007B4818">
        <w:trPr>
          <w:jc w:val="center"/>
        </w:trPr>
        <w:tc>
          <w:tcPr>
            <w:tcW w:w="1059" w:type="dxa"/>
            <w:vMerge/>
            <w:vAlign w:val="center"/>
          </w:tcPr>
          <w:p w:rsidR="007B4818" w:rsidRDefault="007B4818">
            <w:pPr>
              <w:pStyle w:val="a"/>
              <w:widowControl w:val="0"/>
              <w:numPr>
                <w:ilvl w:val="0"/>
                <w:numId w:val="0"/>
              </w:numPr>
              <w:snapToGrid w:val="0"/>
              <w:jc w:val="both"/>
              <w:rPr>
                <w:rFonts w:ascii="仿宋_GB2312" w:eastAsia="仿宋_GB2312" w:hAnsi="仿宋_GB2312" w:cs="仿宋_GB2312"/>
                <w:b/>
                <w:color w:val="000000" w:themeColor="text1"/>
                <w:szCs w:val="21"/>
              </w:rPr>
            </w:pPr>
          </w:p>
        </w:tc>
        <w:tc>
          <w:tcPr>
            <w:tcW w:w="2366" w:type="dxa"/>
            <w:vMerge/>
            <w:vAlign w:val="center"/>
          </w:tcPr>
          <w:p w:rsidR="007B4818" w:rsidRDefault="007B4818">
            <w:pPr>
              <w:pStyle w:val="a"/>
              <w:widowControl w:val="0"/>
              <w:numPr>
                <w:ilvl w:val="0"/>
                <w:numId w:val="0"/>
              </w:numPr>
              <w:snapToGrid w:val="0"/>
              <w:jc w:val="both"/>
              <w:rPr>
                <w:rFonts w:ascii="仿宋_GB2312" w:eastAsia="仿宋_GB2312" w:hAnsi="仿宋_GB2312" w:cs="仿宋_GB2312"/>
                <w:b/>
                <w:color w:val="000000" w:themeColor="text1"/>
                <w:szCs w:val="21"/>
              </w:rPr>
            </w:pPr>
          </w:p>
        </w:tc>
        <w:tc>
          <w:tcPr>
            <w:tcW w:w="2549" w:type="dxa"/>
            <w:vAlign w:val="center"/>
          </w:tcPr>
          <w:p w:rsidR="007B4818" w:rsidRDefault="00D73177">
            <w:pPr>
              <w:pStyle w:val="a"/>
              <w:widowControl w:val="0"/>
              <w:numPr>
                <w:ilvl w:val="0"/>
                <w:numId w:val="0"/>
              </w:numPr>
              <w:snapToGrid w:val="0"/>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近期目标年</w:t>
            </w:r>
          </w:p>
        </w:tc>
        <w:tc>
          <w:tcPr>
            <w:tcW w:w="2548" w:type="dxa"/>
            <w:vAlign w:val="center"/>
          </w:tcPr>
          <w:p w:rsidR="007B4818" w:rsidRDefault="00D73177">
            <w:pPr>
              <w:pStyle w:val="a"/>
              <w:widowControl w:val="0"/>
              <w:numPr>
                <w:ilvl w:val="0"/>
                <w:numId w:val="0"/>
              </w:numPr>
              <w:snapToGrid w:val="0"/>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规划目标年</w:t>
            </w:r>
          </w:p>
        </w:tc>
      </w:tr>
      <w:tr w:rsidR="007B4818">
        <w:trPr>
          <w:jc w:val="center"/>
        </w:trPr>
        <w:tc>
          <w:tcPr>
            <w:tcW w:w="1059" w:type="dxa"/>
            <w:vAlign w:val="center"/>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XX</w:t>
            </w:r>
          </w:p>
        </w:tc>
        <w:tc>
          <w:tcPr>
            <w:tcW w:w="2366"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2549"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2548"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r>
      <w:tr w:rsidR="007B4818">
        <w:trPr>
          <w:jc w:val="center"/>
        </w:trPr>
        <w:tc>
          <w:tcPr>
            <w:tcW w:w="1059" w:type="dxa"/>
            <w:vAlign w:val="center"/>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XX</w:t>
            </w:r>
          </w:p>
        </w:tc>
        <w:tc>
          <w:tcPr>
            <w:tcW w:w="2366"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2549"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2548"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r>
      <w:tr w:rsidR="007B4818">
        <w:trPr>
          <w:jc w:val="center"/>
        </w:trPr>
        <w:tc>
          <w:tcPr>
            <w:tcW w:w="1059" w:type="dxa"/>
            <w:vAlign w:val="center"/>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w:t>
            </w:r>
          </w:p>
        </w:tc>
        <w:tc>
          <w:tcPr>
            <w:tcW w:w="2366"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2549"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2548"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r>
      <w:tr w:rsidR="007B4818">
        <w:trPr>
          <w:jc w:val="center"/>
        </w:trPr>
        <w:tc>
          <w:tcPr>
            <w:tcW w:w="1059" w:type="dxa"/>
            <w:vAlign w:val="center"/>
          </w:tcPr>
          <w:p w:rsidR="007B4818" w:rsidRDefault="00D73177">
            <w:pPr>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合计</w:t>
            </w:r>
          </w:p>
        </w:tc>
        <w:tc>
          <w:tcPr>
            <w:tcW w:w="2366" w:type="dxa"/>
            <w:vAlign w:val="center"/>
          </w:tcPr>
          <w:p w:rsidR="007B4818" w:rsidRDefault="007B4818">
            <w:pPr>
              <w:rPr>
                <w:rFonts w:ascii="仿宋_GB2312" w:eastAsia="仿宋_GB2312" w:hAnsi="仿宋_GB2312" w:cs="仿宋_GB2312"/>
                <w:color w:val="000000" w:themeColor="text1"/>
                <w:szCs w:val="21"/>
              </w:rPr>
            </w:pPr>
          </w:p>
        </w:tc>
        <w:tc>
          <w:tcPr>
            <w:tcW w:w="2549" w:type="dxa"/>
            <w:vAlign w:val="center"/>
          </w:tcPr>
          <w:p w:rsidR="007B4818" w:rsidRDefault="007B4818">
            <w:pPr>
              <w:rPr>
                <w:rFonts w:ascii="仿宋_GB2312" w:eastAsia="仿宋_GB2312" w:hAnsi="仿宋_GB2312" w:cs="仿宋_GB2312"/>
                <w:color w:val="000000" w:themeColor="text1"/>
                <w:szCs w:val="21"/>
              </w:rPr>
            </w:pPr>
          </w:p>
        </w:tc>
        <w:tc>
          <w:tcPr>
            <w:tcW w:w="2548" w:type="dxa"/>
            <w:vAlign w:val="center"/>
          </w:tcPr>
          <w:p w:rsidR="007B4818" w:rsidRDefault="007B4818">
            <w:pPr>
              <w:rPr>
                <w:rFonts w:ascii="仿宋_GB2312" w:eastAsia="仿宋_GB2312" w:hAnsi="仿宋_GB2312" w:cs="仿宋_GB2312"/>
                <w:color w:val="000000" w:themeColor="text1"/>
                <w:szCs w:val="21"/>
              </w:rPr>
            </w:pPr>
          </w:p>
        </w:tc>
      </w:tr>
    </w:tbl>
    <w:p w:rsidR="007B4818" w:rsidRDefault="007B4818">
      <w:pPr>
        <w:rPr>
          <w:rFonts w:ascii="仿宋" w:eastAsia="仿宋" w:hAnsi="仿宋" w:cs="宋体"/>
          <w:b/>
          <w:color w:val="000000" w:themeColor="text1"/>
          <w:sz w:val="28"/>
          <w:szCs w:val="28"/>
        </w:rPr>
      </w:pPr>
    </w:p>
    <w:p w:rsidR="007B4818" w:rsidRDefault="00D73177">
      <w:pPr>
        <w:keepNext/>
        <w:spacing w:line="4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表D.6建设用地指标分解表</w:t>
      </w:r>
    </w:p>
    <w:p w:rsidR="007B4818" w:rsidRDefault="00D73177">
      <w:pPr>
        <w:keepNext/>
        <w:ind w:right="442"/>
        <w:jc w:val="righ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单位：平方公里、平方米</w:t>
      </w:r>
    </w:p>
    <w:tbl>
      <w:tblPr>
        <w:tblStyle w:val="ad"/>
        <w:tblW w:w="8522" w:type="dxa"/>
        <w:jc w:val="center"/>
        <w:tblLayout w:type="fixed"/>
        <w:tblLook w:val="04A0"/>
      </w:tblPr>
      <w:tblGrid>
        <w:gridCol w:w="1025"/>
        <w:gridCol w:w="1126"/>
        <w:gridCol w:w="1275"/>
        <w:gridCol w:w="1273"/>
        <w:gridCol w:w="1275"/>
        <w:gridCol w:w="1273"/>
        <w:gridCol w:w="1275"/>
      </w:tblGrid>
      <w:tr w:rsidR="007B4818">
        <w:trPr>
          <w:jc w:val="center"/>
        </w:trPr>
        <w:tc>
          <w:tcPr>
            <w:tcW w:w="1025" w:type="dxa"/>
            <w:vMerge w:val="restart"/>
            <w:vAlign w:val="center"/>
          </w:tcPr>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行政区</w:t>
            </w:r>
          </w:p>
        </w:tc>
        <w:tc>
          <w:tcPr>
            <w:tcW w:w="3674" w:type="dxa"/>
            <w:gridSpan w:val="3"/>
            <w:vAlign w:val="center"/>
          </w:tcPr>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规划基期</w:t>
            </w:r>
            <w:r>
              <w:rPr>
                <w:rFonts w:ascii="仿宋_GB2312" w:eastAsia="仿宋_GB2312" w:hAnsi="仿宋_GB2312" w:cs="仿宋_GB2312"/>
                <w:b/>
                <w:color w:val="000000" w:themeColor="text1"/>
                <w:szCs w:val="21"/>
              </w:rPr>
              <w:t>年</w:t>
            </w:r>
          </w:p>
        </w:tc>
        <w:tc>
          <w:tcPr>
            <w:tcW w:w="3823" w:type="dxa"/>
            <w:gridSpan w:val="3"/>
            <w:vAlign w:val="center"/>
          </w:tcPr>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规划目标年</w:t>
            </w:r>
          </w:p>
        </w:tc>
      </w:tr>
      <w:tr w:rsidR="007B4818">
        <w:trPr>
          <w:jc w:val="center"/>
        </w:trPr>
        <w:tc>
          <w:tcPr>
            <w:tcW w:w="1025" w:type="dxa"/>
            <w:vMerge/>
            <w:vAlign w:val="center"/>
          </w:tcPr>
          <w:p w:rsidR="007B4818" w:rsidRDefault="007B4818">
            <w:pPr>
              <w:pStyle w:val="a"/>
              <w:widowControl w:val="0"/>
              <w:numPr>
                <w:ilvl w:val="0"/>
                <w:numId w:val="0"/>
              </w:numPr>
              <w:snapToGrid w:val="0"/>
              <w:spacing w:line="240" w:lineRule="atLeast"/>
              <w:jc w:val="both"/>
              <w:rPr>
                <w:rFonts w:ascii="仿宋_GB2312" w:eastAsia="仿宋_GB2312" w:hAnsi="仿宋_GB2312" w:cs="仿宋_GB2312"/>
                <w:b/>
                <w:color w:val="000000" w:themeColor="text1"/>
                <w:szCs w:val="21"/>
              </w:rPr>
            </w:pPr>
          </w:p>
        </w:tc>
        <w:tc>
          <w:tcPr>
            <w:tcW w:w="1126" w:type="dxa"/>
            <w:vAlign w:val="center"/>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建设用地</w:t>
            </w:r>
          </w:p>
          <w:p w:rsidR="007B4818" w:rsidRDefault="00D73177">
            <w:pPr>
              <w:pStyle w:val="a"/>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color w:val="000000" w:themeColor="text1"/>
                <w:szCs w:val="21"/>
              </w:rPr>
              <w:t>总规模</w:t>
            </w:r>
          </w:p>
        </w:tc>
        <w:tc>
          <w:tcPr>
            <w:tcW w:w="1275" w:type="dxa"/>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城乡建设</w:t>
            </w:r>
          </w:p>
          <w:p w:rsidR="007B4818" w:rsidRDefault="00D73177">
            <w:pPr>
              <w:pStyle w:val="a"/>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color w:val="000000" w:themeColor="text1"/>
                <w:szCs w:val="21"/>
              </w:rPr>
              <w:t>用地规模</w:t>
            </w:r>
          </w:p>
        </w:tc>
        <w:tc>
          <w:tcPr>
            <w:tcW w:w="1273" w:type="dxa"/>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人均城镇</w:t>
            </w:r>
          </w:p>
          <w:p w:rsidR="007B4818" w:rsidRDefault="00D73177">
            <w:pPr>
              <w:pStyle w:val="a"/>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color w:val="000000" w:themeColor="text1"/>
                <w:szCs w:val="21"/>
              </w:rPr>
              <w:t>建设用地</w:t>
            </w:r>
          </w:p>
        </w:tc>
        <w:tc>
          <w:tcPr>
            <w:tcW w:w="1275" w:type="dxa"/>
            <w:vAlign w:val="center"/>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建设用地</w:t>
            </w:r>
          </w:p>
          <w:p w:rsidR="007B4818" w:rsidRDefault="00D73177">
            <w:pPr>
              <w:pStyle w:val="a"/>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color w:val="000000" w:themeColor="text1"/>
                <w:szCs w:val="21"/>
              </w:rPr>
              <w:t>总规模</w:t>
            </w:r>
          </w:p>
        </w:tc>
        <w:tc>
          <w:tcPr>
            <w:tcW w:w="1273" w:type="dxa"/>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城乡建设</w:t>
            </w:r>
          </w:p>
          <w:p w:rsidR="007B4818" w:rsidRDefault="00D73177">
            <w:pPr>
              <w:pStyle w:val="a"/>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color w:val="000000" w:themeColor="text1"/>
                <w:szCs w:val="21"/>
              </w:rPr>
              <w:t>用地规模</w:t>
            </w:r>
          </w:p>
        </w:tc>
        <w:tc>
          <w:tcPr>
            <w:tcW w:w="1275" w:type="dxa"/>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人均城镇</w:t>
            </w:r>
          </w:p>
          <w:p w:rsidR="007B4818" w:rsidRDefault="00D73177">
            <w:pPr>
              <w:pStyle w:val="a"/>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color w:val="000000" w:themeColor="text1"/>
                <w:szCs w:val="21"/>
              </w:rPr>
              <w:t>建设用地</w:t>
            </w:r>
          </w:p>
        </w:tc>
      </w:tr>
      <w:tr w:rsidR="007B4818">
        <w:trPr>
          <w:jc w:val="center"/>
        </w:trPr>
        <w:tc>
          <w:tcPr>
            <w:tcW w:w="1025" w:type="dxa"/>
            <w:vAlign w:val="center"/>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XX</w:t>
            </w:r>
          </w:p>
        </w:tc>
        <w:tc>
          <w:tcPr>
            <w:tcW w:w="1126"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275"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273"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275"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273"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275"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r>
      <w:tr w:rsidR="007B4818">
        <w:trPr>
          <w:jc w:val="center"/>
        </w:trPr>
        <w:tc>
          <w:tcPr>
            <w:tcW w:w="1025" w:type="dxa"/>
            <w:vAlign w:val="center"/>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XX</w:t>
            </w:r>
          </w:p>
        </w:tc>
        <w:tc>
          <w:tcPr>
            <w:tcW w:w="1126"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275"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273"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275"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273"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275"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r>
      <w:tr w:rsidR="007B4818">
        <w:trPr>
          <w:jc w:val="center"/>
        </w:trPr>
        <w:tc>
          <w:tcPr>
            <w:tcW w:w="1025" w:type="dxa"/>
            <w:vAlign w:val="center"/>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w:t>
            </w:r>
          </w:p>
        </w:tc>
        <w:tc>
          <w:tcPr>
            <w:tcW w:w="1126"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275"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273"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275"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273"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275"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r>
      <w:tr w:rsidR="007B4818">
        <w:trPr>
          <w:jc w:val="center"/>
        </w:trPr>
        <w:tc>
          <w:tcPr>
            <w:tcW w:w="1025" w:type="dxa"/>
            <w:vAlign w:val="center"/>
          </w:tcPr>
          <w:p w:rsidR="007B4818" w:rsidRDefault="00D73177">
            <w:pPr>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合计</w:t>
            </w:r>
          </w:p>
        </w:tc>
        <w:tc>
          <w:tcPr>
            <w:tcW w:w="1126" w:type="dxa"/>
            <w:vAlign w:val="center"/>
          </w:tcPr>
          <w:p w:rsidR="007B4818" w:rsidRDefault="007B4818">
            <w:pPr>
              <w:rPr>
                <w:rFonts w:ascii="仿宋_GB2312" w:eastAsia="仿宋_GB2312" w:hAnsi="仿宋_GB2312" w:cs="仿宋_GB2312"/>
                <w:color w:val="000000" w:themeColor="text1"/>
                <w:szCs w:val="21"/>
              </w:rPr>
            </w:pPr>
          </w:p>
        </w:tc>
        <w:tc>
          <w:tcPr>
            <w:tcW w:w="1275" w:type="dxa"/>
          </w:tcPr>
          <w:p w:rsidR="007B4818" w:rsidRDefault="007B4818">
            <w:pPr>
              <w:rPr>
                <w:rFonts w:ascii="仿宋_GB2312" w:eastAsia="仿宋_GB2312" w:hAnsi="仿宋_GB2312" w:cs="仿宋_GB2312"/>
                <w:color w:val="000000" w:themeColor="text1"/>
                <w:szCs w:val="21"/>
              </w:rPr>
            </w:pPr>
          </w:p>
        </w:tc>
        <w:tc>
          <w:tcPr>
            <w:tcW w:w="1273" w:type="dxa"/>
          </w:tcPr>
          <w:p w:rsidR="007B4818" w:rsidRDefault="007B4818">
            <w:pPr>
              <w:rPr>
                <w:rFonts w:ascii="仿宋_GB2312" w:eastAsia="仿宋_GB2312" w:hAnsi="仿宋_GB2312" w:cs="仿宋_GB2312"/>
                <w:color w:val="000000" w:themeColor="text1"/>
                <w:szCs w:val="21"/>
              </w:rPr>
            </w:pPr>
          </w:p>
        </w:tc>
        <w:tc>
          <w:tcPr>
            <w:tcW w:w="1275" w:type="dxa"/>
            <w:vAlign w:val="center"/>
          </w:tcPr>
          <w:p w:rsidR="007B4818" w:rsidRDefault="007B4818">
            <w:pPr>
              <w:rPr>
                <w:rFonts w:ascii="仿宋_GB2312" w:eastAsia="仿宋_GB2312" w:hAnsi="仿宋_GB2312" w:cs="仿宋_GB2312"/>
                <w:color w:val="000000" w:themeColor="text1"/>
                <w:szCs w:val="21"/>
              </w:rPr>
            </w:pPr>
          </w:p>
        </w:tc>
        <w:tc>
          <w:tcPr>
            <w:tcW w:w="1273" w:type="dxa"/>
            <w:vAlign w:val="center"/>
          </w:tcPr>
          <w:p w:rsidR="007B4818" w:rsidRDefault="007B4818">
            <w:pPr>
              <w:rPr>
                <w:rFonts w:ascii="仿宋_GB2312" w:eastAsia="仿宋_GB2312" w:hAnsi="仿宋_GB2312" w:cs="仿宋_GB2312"/>
                <w:color w:val="000000" w:themeColor="text1"/>
                <w:szCs w:val="21"/>
              </w:rPr>
            </w:pPr>
          </w:p>
        </w:tc>
        <w:tc>
          <w:tcPr>
            <w:tcW w:w="1275" w:type="dxa"/>
            <w:vAlign w:val="center"/>
          </w:tcPr>
          <w:p w:rsidR="007B4818" w:rsidRDefault="007B4818">
            <w:pPr>
              <w:rPr>
                <w:rFonts w:ascii="仿宋_GB2312" w:eastAsia="仿宋_GB2312" w:hAnsi="仿宋_GB2312" w:cs="仿宋_GB2312"/>
                <w:color w:val="000000" w:themeColor="text1"/>
                <w:szCs w:val="21"/>
              </w:rPr>
            </w:pPr>
          </w:p>
        </w:tc>
      </w:tr>
    </w:tbl>
    <w:p w:rsidR="007B4818" w:rsidRDefault="007B4818">
      <w:pPr>
        <w:ind w:firstLineChars="200" w:firstLine="562"/>
        <w:rPr>
          <w:rFonts w:ascii="仿宋" w:eastAsia="仿宋" w:hAnsi="仿宋" w:cs="宋体"/>
          <w:b/>
          <w:color w:val="000000" w:themeColor="text1"/>
          <w:sz w:val="28"/>
          <w:szCs w:val="28"/>
        </w:rPr>
      </w:pPr>
    </w:p>
    <w:p w:rsidR="007B4818" w:rsidRDefault="00D73177">
      <w:pPr>
        <w:keepNext/>
        <w:spacing w:line="4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表D.7其他底线管控指标分解表</w:t>
      </w:r>
    </w:p>
    <w:p w:rsidR="007B4818" w:rsidRDefault="00D73177">
      <w:pPr>
        <w:keepNext/>
        <w:ind w:right="442"/>
        <w:jc w:val="righ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单位：平方公里、亿立方米、%</w:t>
      </w:r>
    </w:p>
    <w:tbl>
      <w:tblPr>
        <w:tblStyle w:val="ad"/>
        <w:tblW w:w="8620" w:type="dxa"/>
        <w:jc w:val="center"/>
        <w:tblLayout w:type="fixed"/>
        <w:tblLook w:val="04A0"/>
      </w:tblPr>
      <w:tblGrid>
        <w:gridCol w:w="1085"/>
        <w:gridCol w:w="1316"/>
        <w:gridCol w:w="1338"/>
        <w:gridCol w:w="1535"/>
        <w:gridCol w:w="1477"/>
        <w:gridCol w:w="1869"/>
      </w:tblGrid>
      <w:tr w:rsidR="007B4818">
        <w:trPr>
          <w:jc w:val="center"/>
        </w:trPr>
        <w:tc>
          <w:tcPr>
            <w:tcW w:w="1085" w:type="dxa"/>
            <w:vMerge w:val="restart"/>
            <w:vAlign w:val="center"/>
          </w:tcPr>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行政区</w:t>
            </w:r>
          </w:p>
        </w:tc>
        <w:tc>
          <w:tcPr>
            <w:tcW w:w="7535" w:type="dxa"/>
            <w:gridSpan w:val="5"/>
            <w:vAlign w:val="center"/>
          </w:tcPr>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规划目标年</w:t>
            </w:r>
          </w:p>
        </w:tc>
      </w:tr>
      <w:tr w:rsidR="007B4818">
        <w:trPr>
          <w:jc w:val="center"/>
        </w:trPr>
        <w:tc>
          <w:tcPr>
            <w:tcW w:w="1085" w:type="dxa"/>
            <w:vMerge/>
            <w:vAlign w:val="center"/>
          </w:tcPr>
          <w:p w:rsidR="007B4818" w:rsidRDefault="007B4818">
            <w:pPr>
              <w:pStyle w:val="a"/>
              <w:widowControl w:val="0"/>
              <w:numPr>
                <w:ilvl w:val="0"/>
                <w:numId w:val="0"/>
              </w:numPr>
              <w:snapToGrid w:val="0"/>
              <w:spacing w:line="240" w:lineRule="atLeast"/>
              <w:jc w:val="both"/>
              <w:rPr>
                <w:rFonts w:ascii="仿宋_GB2312" w:eastAsia="仿宋_GB2312" w:hAnsi="仿宋_GB2312" w:cs="仿宋_GB2312"/>
                <w:b/>
                <w:color w:val="000000" w:themeColor="text1"/>
                <w:szCs w:val="21"/>
              </w:rPr>
            </w:pPr>
          </w:p>
        </w:tc>
        <w:tc>
          <w:tcPr>
            <w:tcW w:w="1316" w:type="dxa"/>
            <w:vAlign w:val="center"/>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生态保护</w:t>
            </w:r>
          </w:p>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红线面积</w:t>
            </w:r>
          </w:p>
        </w:tc>
        <w:tc>
          <w:tcPr>
            <w:tcW w:w="1338" w:type="dxa"/>
            <w:vAlign w:val="center"/>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用水总量</w:t>
            </w:r>
          </w:p>
        </w:tc>
        <w:tc>
          <w:tcPr>
            <w:tcW w:w="1535" w:type="dxa"/>
            <w:vAlign w:val="center"/>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基本草原</w:t>
            </w:r>
          </w:p>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面积</w:t>
            </w:r>
          </w:p>
        </w:tc>
        <w:tc>
          <w:tcPr>
            <w:tcW w:w="1477" w:type="dxa"/>
            <w:vAlign w:val="center"/>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湿地面积</w:t>
            </w:r>
          </w:p>
        </w:tc>
        <w:tc>
          <w:tcPr>
            <w:tcW w:w="1869" w:type="dxa"/>
            <w:vAlign w:val="center"/>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大陆自然海岸线保有率</w:t>
            </w:r>
          </w:p>
        </w:tc>
      </w:tr>
      <w:tr w:rsidR="007B4818">
        <w:trPr>
          <w:jc w:val="center"/>
        </w:trPr>
        <w:tc>
          <w:tcPr>
            <w:tcW w:w="1085" w:type="dxa"/>
            <w:vAlign w:val="center"/>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XX</w:t>
            </w:r>
          </w:p>
        </w:tc>
        <w:tc>
          <w:tcPr>
            <w:tcW w:w="1316"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338"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535"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477"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869"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r>
      <w:tr w:rsidR="007B4818">
        <w:trPr>
          <w:jc w:val="center"/>
        </w:trPr>
        <w:tc>
          <w:tcPr>
            <w:tcW w:w="1085" w:type="dxa"/>
            <w:vAlign w:val="center"/>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XX</w:t>
            </w:r>
          </w:p>
        </w:tc>
        <w:tc>
          <w:tcPr>
            <w:tcW w:w="1316"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338"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535"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477"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869"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r>
      <w:tr w:rsidR="007B4818">
        <w:trPr>
          <w:jc w:val="center"/>
        </w:trPr>
        <w:tc>
          <w:tcPr>
            <w:tcW w:w="1085" w:type="dxa"/>
            <w:vAlign w:val="center"/>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w:t>
            </w:r>
          </w:p>
        </w:tc>
        <w:tc>
          <w:tcPr>
            <w:tcW w:w="1316"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338"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535"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477"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869" w:type="dxa"/>
            <w:vAlign w:val="center"/>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r>
      <w:tr w:rsidR="007B4818">
        <w:trPr>
          <w:jc w:val="center"/>
        </w:trPr>
        <w:tc>
          <w:tcPr>
            <w:tcW w:w="1085" w:type="dxa"/>
            <w:vAlign w:val="center"/>
          </w:tcPr>
          <w:p w:rsidR="007B4818" w:rsidRDefault="00D73177">
            <w:pPr>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合计</w:t>
            </w:r>
          </w:p>
        </w:tc>
        <w:tc>
          <w:tcPr>
            <w:tcW w:w="1316" w:type="dxa"/>
            <w:vAlign w:val="center"/>
          </w:tcPr>
          <w:p w:rsidR="007B4818" w:rsidRDefault="007B4818">
            <w:pPr>
              <w:rPr>
                <w:rFonts w:ascii="仿宋_GB2312" w:eastAsia="仿宋_GB2312" w:hAnsi="仿宋_GB2312" w:cs="仿宋_GB2312"/>
                <w:color w:val="000000" w:themeColor="text1"/>
                <w:szCs w:val="21"/>
              </w:rPr>
            </w:pPr>
          </w:p>
        </w:tc>
        <w:tc>
          <w:tcPr>
            <w:tcW w:w="1338" w:type="dxa"/>
          </w:tcPr>
          <w:p w:rsidR="007B4818" w:rsidRDefault="007B4818">
            <w:pPr>
              <w:rPr>
                <w:rFonts w:ascii="仿宋_GB2312" w:eastAsia="仿宋_GB2312" w:hAnsi="仿宋_GB2312" w:cs="仿宋_GB2312"/>
                <w:color w:val="000000" w:themeColor="text1"/>
                <w:szCs w:val="21"/>
              </w:rPr>
            </w:pPr>
          </w:p>
        </w:tc>
        <w:tc>
          <w:tcPr>
            <w:tcW w:w="1535" w:type="dxa"/>
          </w:tcPr>
          <w:p w:rsidR="007B4818" w:rsidRDefault="007B4818">
            <w:pPr>
              <w:rPr>
                <w:rFonts w:ascii="仿宋_GB2312" w:eastAsia="仿宋_GB2312" w:hAnsi="仿宋_GB2312" w:cs="仿宋_GB2312"/>
                <w:color w:val="000000" w:themeColor="text1"/>
                <w:szCs w:val="21"/>
              </w:rPr>
            </w:pPr>
          </w:p>
        </w:tc>
        <w:tc>
          <w:tcPr>
            <w:tcW w:w="1477" w:type="dxa"/>
            <w:vAlign w:val="center"/>
          </w:tcPr>
          <w:p w:rsidR="007B4818" w:rsidRDefault="007B4818">
            <w:pPr>
              <w:rPr>
                <w:rFonts w:ascii="仿宋_GB2312" w:eastAsia="仿宋_GB2312" w:hAnsi="仿宋_GB2312" w:cs="仿宋_GB2312"/>
                <w:color w:val="000000" w:themeColor="text1"/>
                <w:szCs w:val="21"/>
              </w:rPr>
            </w:pPr>
          </w:p>
        </w:tc>
        <w:tc>
          <w:tcPr>
            <w:tcW w:w="1869" w:type="dxa"/>
            <w:vAlign w:val="center"/>
          </w:tcPr>
          <w:p w:rsidR="007B4818" w:rsidRDefault="007B4818">
            <w:pPr>
              <w:rPr>
                <w:rFonts w:ascii="仿宋_GB2312" w:eastAsia="仿宋_GB2312" w:hAnsi="仿宋_GB2312" w:cs="仿宋_GB2312"/>
                <w:color w:val="000000" w:themeColor="text1"/>
                <w:szCs w:val="21"/>
              </w:rPr>
            </w:pPr>
          </w:p>
        </w:tc>
      </w:tr>
    </w:tbl>
    <w:p w:rsidR="007B4818" w:rsidRDefault="007B4818">
      <w:pPr>
        <w:rPr>
          <w:rFonts w:ascii="仿宋" w:eastAsia="仿宋" w:hAnsi="仿宋" w:cs="宋体"/>
          <w:b/>
          <w:color w:val="000000" w:themeColor="text1"/>
          <w:sz w:val="28"/>
          <w:szCs w:val="28"/>
        </w:rPr>
      </w:pPr>
    </w:p>
    <w:p w:rsidR="007B4818" w:rsidRDefault="00D73177">
      <w:pPr>
        <w:keepNext/>
        <w:spacing w:line="4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表D.8自然保护地一览表</w:t>
      </w:r>
    </w:p>
    <w:tbl>
      <w:tblPr>
        <w:tblStyle w:val="ad"/>
        <w:tblW w:w="8522" w:type="dxa"/>
        <w:tblLayout w:type="fixed"/>
        <w:tblLook w:val="04A0"/>
      </w:tblPr>
      <w:tblGrid>
        <w:gridCol w:w="640"/>
        <w:gridCol w:w="639"/>
        <w:gridCol w:w="2412"/>
        <w:gridCol w:w="1989"/>
        <w:gridCol w:w="1279"/>
        <w:gridCol w:w="1563"/>
      </w:tblGrid>
      <w:tr w:rsidR="007B4818">
        <w:tc>
          <w:tcPr>
            <w:tcW w:w="640" w:type="dxa"/>
          </w:tcPr>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序号</w:t>
            </w:r>
          </w:p>
        </w:tc>
        <w:tc>
          <w:tcPr>
            <w:tcW w:w="639" w:type="dxa"/>
          </w:tcPr>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名称</w:t>
            </w:r>
          </w:p>
        </w:tc>
        <w:tc>
          <w:tcPr>
            <w:tcW w:w="2412" w:type="dxa"/>
          </w:tcPr>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保护地范围所在行政区</w:t>
            </w:r>
          </w:p>
        </w:tc>
        <w:tc>
          <w:tcPr>
            <w:tcW w:w="1989" w:type="dxa"/>
          </w:tcPr>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总面积（平方公里）</w:t>
            </w:r>
          </w:p>
        </w:tc>
        <w:tc>
          <w:tcPr>
            <w:tcW w:w="1279" w:type="dxa"/>
          </w:tcPr>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保护地类型</w:t>
            </w:r>
          </w:p>
        </w:tc>
        <w:tc>
          <w:tcPr>
            <w:tcW w:w="1563" w:type="dxa"/>
          </w:tcPr>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级别</w:t>
            </w:r>
          </w:p>
        </w:tc>
      </w:tr>
      <w:tr w:rsidR="007B4818">
        <w:tc>
          <w:tcPr>
            <w:tcW w:w="640" w:type="dxa"/>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w:t>
            </w:r>
          </w:p>
        </w:tc>
        <w:tc>
          <w:tcPr>
            <w:tcW w:w="639" w:type="dxa"/>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XX</w:t>
            </w:r>
          </w:p>
        </w:tc>
        <w:tc>
          <w:tcPr>
            <w:tcW w:w="2412"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989"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279" w:type="dxa"/>
          </w:tcPr>
          <w:p w:rsidR="007B4818" w:rsidRDefault="00D73177">
            <w:pPr>
              <w:pStyle w:val="a"/>
              <w:numPr>
                <w:ilvl w:val="0"/>
                <w:numId w:val="0"/>
              </w:numPr>
              <w:snapToGrid w:val="0"/>
              <w:spacing w:line="240" w:lineRule="atLeast"/>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国家公园</w:t>
            </w:r>
          </w:p>
        </w:tc>
        <w:tc>
          <w:tcPr>
            <w:tcW w:w="1563" w:type="dxa"/>
          </w:tcPr>
          <w:p w:rsidR="007B4818" w:rsidRDefault="00D73177">
            <w:pPr>
              <w:pStyle w:val="a"/>
              <w:numPr>
                <w:ilvl w:val="0"/>
                <w:numId w:val="0"/>
              </w:numPr>
              <w:snapToGrid w:val="0"/>
              <w:spacing w:line="240" w:lineRule="atLeast"/>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国家级/省级</w:t>
            </w:r>
          </w:p>
        </w:tc>
      </w:tr>
      <w:tr w:rsidR="007B4818">
        <w:tc>
          <w:tcPr>
            <w:tcW w:w="640" w:type="dxa"/>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p>
        </w:tc>
        <w:tc>
          <w:tcPr>
            <w:tcW w:w="639" w:type="dxa"/>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XX</w:t>
            </w:r>
          </w:p>
        </w:tc>
        <w:tc>
          <w:tcPr>
            <w:tcW w:w="2412"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989"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279" w:type="dxa"/>
          </w:tcPr>
          <w:p w:rsidR="007B4818" w:rsidRDefault="00D73177">
            <w:pPr>
              <w:pStyle w:val="a"/>
              <w:numPr>
                <w:ilvl w:val="0"/>
                <w:numId w:val="0"/>
              </w:numPr>
              <w:snapToGrid w:val="0"/>
              <w:spacing w:line="240" w:lineRule="atLeast"/>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自然保护区</w:t>
            </w:r>
          </w:p>
        </w:tc>
        <w:tc>
          <w:tcPr>
            <w:tcW w:w="1563"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r>
      <w:tr w:rsidR="007B4818">
        <w:tc>
          <w:tcPr>
            <w:tcW w:w="640" w:type="dxa"/>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3</w:t>
            </w:r>
          </w:p>
        </w:tc>
        <w:tc>
          <w:tcPr>
            <w:tcW w:w="639" w:type="dxa"/>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XX</w:t>
            </w:r>
          </w:p>
        </w:tc>
        <w:tc>
          <w:tcPr>
            <w:tcW w:w="2412"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989"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279" w:type="dxa"/>
          </w:tcPr>
          <w:p w:rsidR="007B4818" w:rsidRDefault="00D73177">
            <w:pPr>
              <w:pStyle w:val="a"/>
              <w:numPr>
                <w:ilvl w:val="0"/>
                <w:numId w:val="0"/>
              </w:numPr>
              <w:snapToGrid w:val="0"/>
              <w:spacing w:line="240" w:lineRule="atLeast"/>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自然公园</w:t>
            </w:r>
          </w:p>
        </w:tc>
        <w:tc>
          <w:tcPr>
            <w:tcW w:w="1563"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r>
      <w:tr w:rsidR="007B4818">
        <w:tc>
          <w:tcPr>
            <w:tcW w:w="640" w:type="dxa"/>
          </w:tcPr>
          <w:p w:rsidR="007B4818" w:rsidRDefault="00D73177">
            <w:pPr>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w:t>
            </w:r>
          </w:p>
        </w:tc>
        <w:tc>
          <w:tcPr>
            <w:tcW w:w="639" w:type="dxa"/>
          </w:tcPr>
          <w:p w:rsidR="007B4818" w:rsidRDefault="007B4818">
            <w:pPr>
              <w:jc w:val="center"/>
              <w:rPr>
                <w:rFonts w:ascii="仿宋_GB2312" w:eastAsia="仿宋_GB2312" w:hAnsi="仿宋_GB2312" w:cs="仿宋_GB2312"/>
                <w:color w:val="000000" w:themeColor="text1"/>
                <w:szCs w:val="21"/>
              </w:rPr>
            </w:pPr>
          </w:p>
        </w:tc>
        <w:tc>
          <w:tcPr>
            <w:tcW w:w="2412" w:type="dxa"/>
          </w:tcPr>
          <w:p w:rsidR="007B4818" w:rsidRDefault="007B4818">
            <w:pPr>
              <w:rPr>
                <w:rFonts w:ascii="仿宋_GB2312" w:eastAsia="仿宋_GB2312" w:hAnsi="仿宋_GB2312" w:cs="仿宋_GB2312"/>
                <w:color w:val="000000" w:themeColor="text1"/>
                <w:szCs w:val="21"/>
              </w:rPr>
            </w:pPr>
          </w:p>
        </w:tc>
        <w:tc>
          <w:tcPr>
            <w:tcW w:w="1989" w:type="dxa"/>
          </w:tcPr>
          <w:p w:rsidR="007B4818" w:rsidRDefault="007B4818">
            <w:pPr>
              <w:rPr>
                <w:rFonts w:ascii="仿宋_GB2312" w:eastAsia="仿宋_GB2312" w:hAnsi="仿宋_GB2312" w:cs="仿宋_GB2312"/>
                <w:color w:val="000000" w:themeColor="text1"/>
                <w:szCs w:val="21"/>
              </w:rPr>
            </w:pPr>
          </w:p>
        </w:tc>
        <w:tc>
          <w:tcPr>
            <w:tcW w:w="1279" w:type="dxa"/>
          </w:tcPr>
          <w:p w:rsidR="007B4818" w:rsidRDefault="007B4818">
            <w:pPr>
              <w:rPr>
                <w:rFonts w:ascii="仿宋_GB2312" w:eastAsia="仿宋_GB2312" w:hAnsi="仿宋_GB2312" w:cs="仿宋_GB2312"/>
                <w:color w:val="000000" w:themeColor="text1"/>
                <w:szCs w:val="21"/>
              </w:rPr>
            </w:pPr>
          </w:p>
        </w:tc>
        <w:tc>
          <w:tcPr>
            <w:tcW w:w="1563" w:type="dxa"/>
          </w:tcPr>
          <w:p w:rsidR="007B4818" w:rsidRDefault="007B4818">
            <w:pPr>
              <w:rPr>
                <w:rFonts w:ascii="仿宋_GB2312" w:eastAsia="仿宋_GB2312" w:hAnsi="仿宋_GB2312" w:cs="仿宋_GB2312"/>
                <w:color w:val="000000" w:themeColor="text1"/>
                <w:szCs w:val="21"/>
              </w:rPr>
            </w:pPr>
          </w:p>
        </w:tc>
      </w:tr>
    </w:tbl>
    <w:p w:rsidR="007B4818" w:rsidRDefault="007B4818">
      <w:pPr>
        <w:rPr>
          <w:rFonts w:ascii="仿宋" w:eastAsia="仿宋" w:hAnsi="仿宋" w:cs="宋体"/>
          <w:b/>
          <w:color w:val="000000" w:themeColor="text1"/>
          <w:sz w:val="28"/>
          <w:szCs w:val="28"/>
        </w:rPr>
      </w:pPr>
    </w:p>
    <w:p w:rsidR="007B4818" w:rsidRDefault="00D73177">
      <w:pPr>
        <w:keepNext/>
        <w:spacing w:line="4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表D.9历史文化资源一览表</w:t>
      </w:r>
    </w:p>
    <w:tbl>
      <w:tblPr>
        <w:tblStyle w:val="ad"/>
        <w:tblW w:w="8522" w:type="dxa"/>
        <w:tblLayout w:type="fixed"/>
        <w:tblLook w:val="04A0"/>
      </w:tblPr>
      <w:tblGrid>
        <w:gridCol w:w="677"/>
        <w:gridCol w:w="1282"/>
        <w:gridCol w:w="1987"/>
        <w:gridCol w:w="1421"/>
        <w:gridCol w:w="1426"/>
        <w:gridCol w:w="1729"/>
      </w:tblGrid>
      <w:tr w:rsidR="007B4818">
        <w:tc>
          <w:tcPr>
            <w:tcW w:w="677" w:type="dxa"/>
          </w:tcPr>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序号</w:t>
            </w:r>
          </w:p>
        </w:tc>
        <w:tc>
          <w:tcPr>
            <w:tcW w:w="1282" w:type="dxa"/>
          </w:tcPr>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名称</w:t>
            </w:r>
          </w:p>
        </w:tc>
        <w:tc>
          <w:tcPr>
            <w:tcW w:w="1987" w:type="dxa"/>
          </w:tcPr>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行政辖区</w:t>
            </w:r>
          </w:p>
        </w:tc>
        <w:tc>
          <w:tcPr>
            <w:tcW w:w="1421" w:type="dxa"/>
          </w:tcPr>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级别</w:t>
            </w:r>
          </w:p>
        </w:tc>
        <w:tc>
          <w:tcPr>
            <w:tcW w:w="1426" w:type="dxa"/>
          </w:tcPr>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类别</w:t>
            </w:r>
          </w:p>
        </w:tc>
        <w:tc>
          <w:tcPr>
            <w:tcW w:w="1729" w:type="dxa"/>
          </w:tcPr>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备注</w:t>
            </w:r>
          </w:p>
        </w:tc>
      </w:tr>
      <w:tr w:rsidR="007B4818">
        <w:tc>
          <w:tcPr>
            <w:tcW w:w="677" w:type="dxa"/>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w:t>
            </w:r>
          </w:p>
        </w:tc>
        <w:tc>
          <w:tcPr>
            <w:tcW w:w="1282" w:type="dxa"/>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XX</w:t>
            </w:r>
          </w:p>
        </w:tc>
        <w:tc>
          <w:tcPr>
            <w:tcW w:w="1987"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421" w:type="dxa"/>
          </w:tcPr>
          <w:p w:rsidR="007B4818" w:rsidRDefault="00D73177">
            <w:pPr>
              <w:pStyle w:val="a"/>
              <w:numPr>
                <w:ilvl w:val="0"/>
                <w:numId w:val="0"/>
              </w:numPr>
              <w:snapToGrid w:val="0"/>
              <w:spacing w:line="240" w:lineRule="atLeast"/>
              <w:jc w:val="both"/>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国家级/省级</w:t>
            </w:r>
          </w:p>
        </w:tc>
        <w:tc>
          <w:tcPr>
            <w:tcW w:w="1426"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729"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r>
      <w:tr w:rsidR="007B4818">
        <w:tc>
          <w:tcPr>
            <w:tcW w:w="677" w:type="dxa"/>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p>
        </w:tc>
        <w:tc>
          <w:tcPr>
            <w:tcW w:w="1282" w:type="dxa"/>
          </w:tcPr>
          <w:p w:rsidR="007B4818" w:rsidRDefault="007B4818">
            <w:pPr>
              <w:pStyle w:val="a"/>
              <w:numPr>
                <w:ilvl w:val="0"/>
                <w:numId w:val="0"/>
              </w:numPr>
              <w:snapToGrid w:val="0"/>
              <w:spacing w:line="240" w:lineRule="atLeast"/>
              <w:rPr>
                <w:rFonts w:ascii="仿宋_GB2312" w:eastAsia="仿宋_GB2312" w:hAnsi="仿宋_GB2312" w:cs="仿宋_GB2312"/>
                <w:color w:val="000000" w:themeColor="text1"/>
                <w:szCs w:val="21"/>
              </w:rPr>
            </w:pPr>
          </w:p>
        </w:tc>
        <w:tc>
          <w:tcPr>
            <w:tcW w:w="1987"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421"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426"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729"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r>
      <w:tr w:rsidR="007B4818">
        <w:tc>
          <w:tcPr>
            <w:tcW w:w="677" w:type="dxa"/>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3</w:t>
            </w:r>
          </w:p>
        </w:tc>
        <w:tc>
          <w:tcPr>
            <w:tcW w:w="1282" w:type="dxa"/>
          </w:tcPr>
          <w:p w:rsidR="007B4818" w:rsidRDefault="007B4818">
            <w:pPr>
              <w:pStyle w:val="a"/>
              <w:numPr>
                <w:ilvl w:val="0"/>
                <w:numId w:val="0"/>
              </w:numPr>
              <w:snapToGrid w:val="0"/>
              <w:spacing w:line="240" w:lineRule="atLeast"/>
              <w:rPr>
                <w:rFonts w:ascii="仿宋_GB2312" w:eastAsia="仿宋_GB2312" w:hAnsi="仿宋_GB2312" w:cs="仿宋_GB2312"/>
                <w:color w:val="000000" w:themeColor="text1"/>
                <w:szCs w:val="21"/>
              </w:rPr>
            </w:pPr>
          </w:p>
        </w:tc>
        <w:tc>
          <w:tcPr>
            <w:tcW w:w="1987"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421"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426"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729"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r>
      <w:tr w:rsidR="007B4818">
        <w:tc>
          <w:tcPr>
            <w:tcW w:w="677" w:type="dxa"/>
          </w:tcPr>
          <w:p w:rsidR="007B4818" w:rsidRDefault="00D73177">
            <w:pPr>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w:t>
            </w:r>
          </w:p>
        </w:tc>
        <w:tc>
          <w:tcPr>
            <w:tcW w:w="1282" w:type="dxa"/>
          </w:tcPr>
          <w:p w:rsidR="007B4818" w:rsidRDefault="007B4818">
            <w:pPr>
              <w:jc w:val="center"/>
              <w:rPr>
                <w:rFonts w:ascii="仿宋_GB2312" w:eastAsia="仿宋_GB2312" w:hAnsi="仿宋_GB2312" w:cs="仿宋_GB2312"/>
                <w:color w:val="000000" w:themeColor="text1"/>
                <w:szCs w:val="21"/>
              </w:rPr>
            </w:pPr>
          </w:p>
        </w:tc>
        <w:tc>
          <w:tcPr>
            <w:tcW w:w="1987" w:type="dxa"/>
          </w:tcPr>
          <w:p w:rsidR="007B4818" w:rsidRDefault="007B4818">
            <w:pPr>
              <w:rPr>
                <w:rFonts w:ascii="仿宋_GB2312" w:eastAsia="仿宋_GB2312" w:hAnsi="仿宋_GB2312" w:cs="仿宋_GB2312"/>
                <w:color w:val="000000" w:themeColor="text1"/>
                <w:szCs w:val="21"/>
              </w:rPr>
            </w:pPr>
          </w:p>
        </w:tc>
        <w:tc>
          <w:tcPr>
            <w:tcW w:w="1421" w:type="dxa"/>
          </w:tcPr>
          <w:p w:rsidR="007B4818" w:rsidRDefault="007B4818">
            <w:pPr>
              <w:rPr>
                <w:rFonts w:ascii="仿宋_GB2312" w:eastAsia="仿宋_GB2312" w:hAnsi="仿宋_GB2312" w:cs="仿宋_GB2312"/>
                <w:color w:val="000000" w:themeColor="text1"/>
                <w:szCs w:val="21"/>
              </w:rPr>
            </w:pPr>
          </w:p>
        </w:tc>
        <w:tc>
          <w:tcPr>
            <w:tcW w:w="1426" w:type="dxa"/>
          </w:tcPr>
          <w:p w:rsidR="007B4818" w:rsidRDefault="007B4818">
            <w:pPr>
              <w:rPr>
                <w:rFonts w:ascii="仿宋_GB2312" w:eastAsia="仿宋_GB2312" w:hAnsi="仿宋_GB2312" w:cs="仿宋_GB2312"/>
                <w:color w:val="000000" w:themeColor="text1"/>
                <w:szCs w:val="21"/>
              </w:rPr>
            </w:pPr>
          </w:p>
        </w:tc>
        <w:tc>
          <w:tcPr>
            <w:tcW w:w="1729" w:type="dxa"/>
          </w:tcPr>
          <w:p w:rsidR="007B4818" w:rsidRDefault="007B4818">
            <w:pPr>
              <w:rPr>
                <w:rFonts w:ascii="仿宋_GB2312" w:eastAsia="仿宋_GB2312" w:hAnsi="仿宋_GB2312" w:cs="仿宋_GB2312"/>
                <w:color w:val="000000" w:themeColor="text1"/>
                <w:szCs w:val="21"/>
              </w:rPr>
            </w:pPr>
          </w:p>
        </w:tc>
      </w:tr>
    </w:tbl>
    <w:p w:rsidR="007B4818" w:rsidRDefault="007B4818">
      <w:pPr>
        <w:rPr>
          <w:rFonts w:ascii="仿宋" w:eastAsia="仿宋" w:hAnsi="仿宋" w:cs="宋体"/>
          <w:b/>
          <w:color w:val="000000" w:themeColor="text1"/>
          <w:sz w:val="28"/>
          <w:szCs w:val="28"/>
        </w:rPr>
      </w:pPr>
    </w:p>
    <w:p w:rsidR="007B4818" w:rsidRDefault="00D73177">
      <w:pPr>
        <w:keepNext/>
        <w:spacing w:line="4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表D.10无居民海岛一览表</w:t>
      </w:r>
    </w:p>
    <w:tbl>
      <w:tblPr>
        <w:tblStyle w:val="ad"/>
        <w:tblW w:w="8522" w:type="dxa"/>
        <w:tblLayout w:type="fixed"/>
        <w:tblLook w:val="04A0"/>
      </w:tblPr>
      <w:tblGrid>
        <w:gridCol w:w="677"/>
        <w:gridCol w:w="1279"/>
        <w:gridCol w:w="1422"/>
        <w:gridCol w:w="1430"/>
        <w:gridCol w:w="1985"/>
        <w:gridCol w:w="1729"/>
      </w:tblGrid>
      <w:tr w:rsidR="007B4818">
        <w:tc>
          <w:tcPr>
            <w:tcW w:w="677" w:type="dxa"/>
          </w:tcPr>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序号</w:t>
            </w:r>
          </w:p>
        </w:tc>
        <w:tc>
          <w:tcPr>
            <w:tcW w:w="1279" w:type="dxa"/>
          </w:tcPr>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名称</w:t>
            </w:r>
          </w:p>
        </w:tc>
        <w:tc>
          <w:tcPr>
            <w:tcW w:w="1422" w:type="dxa"/>
          </w:tcPr>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行政辖区</w:t>
            </w:r>
          </w:p>
        </w:tc>
        <w:tc>
          <w:tcPr>
            <w:tcW w:w="1430" w:type="dxa"/>
          </w:tcPr>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面积</w:t>
            </w:r>
          </w:p>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（平方公里）</w:t>
            </w:r>
          </w:p>
        </w:tc>
        <w:tc>
          <w:tcPr>
            <w:tcW w:w="1985" w:type="dxa"/>
          </w:tcPr>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主导用途</w:t>
            </w:r>
          </w:p>
        </w:tc>
        <w:tc>
          <w:tcPr>
            <w:tcW w:w="1729" w:type="dxa"/>
          </w:tcPr>
          <w:p w:rsidR="007B4818" w:rsidRDefault="00D73177">
            <w:pPr>
              <w:pStyle w:val="a"/>
              <w:widowControl w:val="0"/>
              <w:numPr>
                <w:ilvl w:val="0"/>
                <w:numId w:val="0"/>
              </w:numPr>
              <w:snapToGrid w:val="0"/>
              <w:spacing w:line="240" w:lineRule="atLeast"/>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备注</w:t>
            </w:r>
          </w:p>
        </w:tc>
      </w:tr>
      <w:tr w:rsidR="007B4818">
        <w:tc>
          <w:tcPr>
            <w:tcW w:w="677" w:type="dxa"/>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w:t>
            </w:r>
          </w:p>
        </w:tc>
        <w:tc>
          <w:tcPr>
            <w:tcW w:w="1279" w:type="dxa"/>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XX</w:t>
            </w:r>
          </w:p>
        </w:tc>
        <w:tc>
          <w:tcPr>
            <w:tcW w:w="1422"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430"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985"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729"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r>
      <w:tr w:rsidR="007B4818">
        <w:tc>
          <w:tcPr>
            <w:tcW w:w="677" w:type="dxa"/>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p>
        </w:tc>
        <w:tc>
          <w:tcPr>
            <w:tcW w:w="1279" w:type="dxa"/>
          </w:tcPr>
          <w:p w:rsidR="007B4818" w:rsidRDefault="007B4818">
            <w:pPr>
              <w:pStyle w:val="a"/>
              <w:numPr>
                <w:ilvl w:val="0"/>
                <w:numId w:val="0"/>
              </w:numPr>
              <w:snapToGrid w:val="0"/>
              <w:spacing w:line="240" w:lineRule="atLeast"/>
              <w:rPr>
                <w:rFonts w:ascii="仿宋_GB2312" w:eastAsia="仿宋_GB2312" w:hAnsi="仿宋_GB2312" w:cs="仿宋_GB2312"/>
                <w:color w:val="000000" w:themeColor="text1"/>
                <w:szCs w:val="21"/>
              </w:rPr>
            </w:pPr>
          </w:p>
        </w:tc>
        <w:tc>
          <w:tcPr>
            <w:tcW w:w="1422"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430"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985"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729"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r>
      <w:tr w:rsidR="007B4818">
        <w:tc>
          <w:tcPr>
            <w:tcW w:w="677" w:type="dxa"/>
          </w:tcPr>
          <w:p w:rsidR="007B4818" w:rsidRDefault="00D73177">
            <w:pPr>
              <w:pStyle w:val="a"/>
              <w:numPr>
                <w:ilvl w:val="0"/>
                <w:numId w:val="0"/>
              </w:numPr>
              <w:snapToGrid w:val="0"/>
              <w:spacing w:line="240" w:lineRule="atLeas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3</w:t>
            </w:r>
          </w:p>
        </w:tc>
        <w:tc>
          <w:tcPr>
            <w:tcW w:w="1279" w:type="dxa"/>
          </w:tcPr>
          <w:p w:rsidR="007B4818" w:rsidRDefault="007B4818">
            <w:pPr>
              <w:pStyle w:val="a"/>
              <w:numPr>
                <w:ilvl w:val="0"/>
                <w:numId w:val="0"/>
              </w:numPr>
              <w:snapToGrid w:val="0"/>
              <w:spacing w:line="240" w:lineRule="atLeast"/>
              <w:rPr>
                <w:rFonts w:ascii="仿宋_GB2312" w:eastAsia="仿宋_GB2312" w:hAnsi="仿宋_GB2312" w:cs="仿宋_GB2312"/>
                <w:color w:val="000000" w:themeColor="text1"/>
                <w:szCs w:val="21"/>
              </w:rPr>
            </w:pPr>
          </w:p>
        </w:tc>
        <w:tc>
          <w:tcPr>
            <w:tcW w:w="1422"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430"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985"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c>
          <w:tcPr>
            <w:tcW w:w="1729" w:type="dxa"/>
          </w:tcPr>
          <w:p w:rsidR="007B4818" w:rsidRDefault="007B4818">
            <w:pPr>
              <w:pStyle w:val="a"/>
              <w:numPr>
                <w:ilvl w:val="0"/>
                <w:numId w:val="0"/>
              </w:numPr>
              <w:snapToGrid w:val="0"/>
              <w:spacing w:line="240" w:lineRule="atLeast"/>
              <w:jc w:val="both"/>
              <w:rPr>
                <w:rFonts w:ascii="仿宋_GB2312" w:eastAsia="仿宋_GB2312" w:hAnsi="仿宋_GB2312" w:cs="仿宋_GB2312"/>
                <w:color w:val="000000" w:themeColor="text1"/>
                <w:szCs w:val="21"/>
              </w:rPr>
            </w:pPr>
          </w:p>
        </w:tc>
      </w:tr>
      <w:tr w:rsidR="007B4818">
        <w:tc>
          <w:tcPr>
            <w:tcW w:w="677" w:type="dxa"/>
          </w:tcPr>
          <w:p w:rsidR="007B4818" w:rsidRDefault="00D73177">
            <w:pPr>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w:t>
            </w:r>
          </w:p>
        </w:tc>
        <w:tc>
          <w:tcPr>
            <w:tcW w:w="1279" w:type="dxa"/>
          </w:tcPr>
          <w:p w:rsidR="007B4818" w:rsidRDefault="007B4818">
            <w:pPr>
              <w:jc w:val="center"/>
              <w:rPr>
                <w:rFonts w:ascii="仿宋_GB2312" w:eastAsia="仿宋_GB2312" w:hAnsi="仿宋_GB2312" w:cs="仿宋_GB2312"/>
                <w:color w:val="000000" w:themeColor="text1"/>
                <w:szCs w:val="21"/>
              </w:rPr>
            </w:pPr>
          </w:p>
        </w:tc>
        <w:tc>
          <w:tcPr>
            <w:tcW w:w="1422" w:type="dxa"/>
          </w:tcPr>
          <w:p w:rsidR="007B4818" w:rsidRDefault="007B4818">
            <w:pPr>
              <w:rPr>
                <w:rFonts w:ascii="仿宋_GB2312" w:eastAsia="仿宋_GB2312" w:hAnsi="仿宋_GB2312" w:cs="仿宋_GB2312"/>
                <w:color w:val="000000" w:themeColor="text1"/>
                <w:szCs w:val="21"/>
              </w:rPr>
            </w:pPr>
          </w:p>
        </w:tc>
        <w:tc>
          <w:tcPr>
            <w:tcW w:w="1430" w:type="dxa"/>
          </w:tcPr>
          <w:p w:rsidR="007B4818" w:rsidRDefault="007B4818">
            <w:pPr>
              <w:rPr>
                <w:rFonts w:ascii="仿宋_GB2312" w:eastAsia="仿宋_GB2312" w:hAnsi="仿宋_GB2312" w:cs="仿宋_GB2312"/>
                <w:color w:val="000000" w:themeColor="text1"/>
                <w:szCs w:val="21"/>
              </w:rPr>
            </w:pPr>
          </w:p>
        </w:tc>
        <w:tc>
          <w:tcPr>
            <w:tcW w:w="1985" w:type="dxa"/>
          </w:tcPr>
          <w:p w:rsidR="007B4818" w:rsidRDefault="007B4818">
            <w:pPr>
              <w:rPr>
                <w:rFonts w:ascii="仿宋_GB2312" w:eastAsia="仿宋_GB2312" w:hAnsi="仿宋_GB2312" w:cs="仿宋_GB2312"/>
                <w:color w:val="000000" w:themeColor="text1"/>
                <w:szCs w:val="21"/>
              </w:rPr>
            </w:pPr>
          </w:p>
        </w:tc>
        <w:tc>
          <w:tcPr>
            <w:tcW w:w="1729" w:type="dxa"/>
          </w:tcPr>
          <w:p w:rsidR="007B4818" w:rsidRDefault="007B4818">
            <w:pPr>
              <w:rPr>
                <w:rFonts w:ascii="仿宋_GB2312" w:eastAsia="仿宋_GB2312" w:hAnsi="仿宋_GB2312" w:cs="仿宋_GB2312"/>
                <w:color w:val="000000" w:themeColor="text1"/>
                <w:szCs w:val="21"/>
              </w:rPr>
            </w:pPr>
          </w:p>
        </w:tc>
      </w:tr>
    </w:tbl>
    <w:p w:rsidR="007B4818" w:rsidRDefault="007B4818">
      <w:pPr>
        <w:rPr>
          <w:rFonts w:ascii="仿宋" w:eastAsia="仿宋" w:hAnsi="仿宋" w:cs="宋体"/>
          <w:b/>
          <w:color w:val="000000" w:themeColor="text1"/>
          <w:sz w:val="28"/>
          <w:szCs w:val="28"/>
        </w:rPr>
      </w:pPr>
    </w:p>
    <w:p w:rsidR="007B4818" w:rsidRDefault="00D73177">
      <w:pPr>
        <w:keepNext/>
        <w:spacing w:line="4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表D.11重点建设项目安排表</w:t>
      </w:r>
    </w:p>
    <w:tbl>
      <w:tblPr>
        <w:tblStyle w:val="ad"/>
        <w:tblW w:w="8522" w:type="dxa"/>
        <w:tblLayout w:type="fixed"/>
        <w:tblLook w:val="04A0"/>
      </w:tblPr>
      <w:tblGrid>
        <w:gridCol w:w="681"/>
        <w:gridCol w:w="1087"/>
        <w:gridCol w:w="1069"/>
        <w:gridCol w:w="1137"/>
        <w:gridCol w:w="1137"/>
        <w:gridCol w:w="1137"/>
        <w:gridCol w:w="1109"/>
        <w:gridCol w:w="1165"/>
      </w:tblGrid>
      <w:tr w:rsidR="007B4818">
        <w:tc>
          <w:tcPr>
            <w:tcW w:w="681" w:type="dxa"/>
          </w:tcPr>
          <w:p w:rsidR="007B4818" w:rsidRDefault="00D73177">
            <w:pPr>
              <w:pStyle w:val="a"/>
              <w:widowControl w:val="0"/>
              <w:numPr>
                <w:ilvl w:val="0"/>
                <w:numId w:val="0"/>
              </w:numPr>
              <w:snapToGrid w:val="0"/>
              <w:spacing w:line="240" w:lineRule="atLeast"/>
              <w:rPr>
                <w:rFonts w:ascii="仿宋" w:eastAsia="仿宋" w:hAnsi="仿宋"/>
                <w:b/>
                <w:color w:val="000000" w:themeColor="text1"/>
                <w:szCs w:val="21"/>
              </w:rPr>
            </w:pPr>
            <w:r>
              <w:rPr>
                <w:rFonts w:ascii="仿宋" w:eastAsia="仿宋" w:hAnsi="仿宋" w:hint="eastAsia"/>
                <w:b/>
                <w:color w:val="000000" w:themeColor="text1"/>
                <w:szCs w:val="21"/>
              </w:rPr>
              <w:t>序号</w:t>
            </w:r>
          </w:p>
        </w:tc>
        <w:tc>
          <w:tcPr>
            <w:tcW w:w="1087" w:type="dxa"/>
          </w:tcPr>
          <w:p w:rsidR="007B4818" w:rsidRDefault="00D73177">
            <w:pPr>
              <w:pStyle w:val="a"/>
              <w:widowControl w:val="0"/>
              <w:numPr>
                <w:ilvl w:val="0"/>
                <w:numId w:val="0"/>
              </w:numPr>
              <w:snapToGrid w:val="0"/>
              <w:spacing w:line="240" w:lineRule="atLeast"/>
              <w:rPr>
                <w:rFonts w:ascii="仿宋" w:eastAsia="仿宋" w:hAnsi="仿宋"/>
                <w:b/>
                <w:color w:val="000000" w:themeColor="text1"/>
                <w:szCs w:val="21"/>
              </w:rPr>
            </w:pPr>
            <w:r>
              <w:rPr>
                <w:rFonts w:ascii="仿宋" w:eastAsia="仿宋" w:hAnsi="仿宋" w:hint="eastAsia"/>
                <w:b/>
                <w:color w:val="000000" w:themeColor="text1"/>
                <w:szCs w:val="21"/>
              </w:rPr>
              <w:t>项目类型</w:t>
            </w:r>
          </w:p>
        </w:tc>
        <w:tc>
          <w:tcPr>
            <w:tcW w:w="1069" w:type="dxa"/>
          </w:tcPr>
          <w:p w:rsidR="007B4818" w:rsidRDefault="00D73177">
            <w:pPr>
              <w:pStyle w:val="a"/>
              <w:widowControl w:val="0"/>
              <w:numPr>
                <w:ilvl w:val="0"/>
                <w:numId w:val="0"/>
              </w:numPr>
              <w:snapToGrid w:val="0"/>
              <w:spacing w:line="240" w:lineRule="atLeast"/>
              <w:rPr>
                <w:rFonts w:ascii="仿宋" w:eastAsia="仿宋" w:hAnsi="仿宋"/>
                <w:b/>
                <w:color w:val="000000" w:themeColor="text1"/>
                <w:szCs w:val="21"/>
              </w:rPr>
            </w:pPr>
            <w:r>
              <w:rPr>
                <w:rFonts w:ascii="仿宋" w:eastAsia="仿宋" w:hAnsi="仿宋" w:hint="eastAsia"/>
                <w:b/>
                <w:color w:val="000000" w:themeColor="text1"/>
                <w:szCs w:val="21"/>
              </w:rPr>
              <w:t>项目名称</w:t>
            </w:r>
          </w:p>
        </w:tc>
        <w:tc>
          <w:tcPr>
            <w:tcW w:w="1137" w:type="dxa"/>
          </w:tcPr>
          <w:p w:rsidR="007B4818" w:rsidRDefault="00D73177">
            <w:pPr>
              <w:pStyle w:val="a"/>
              <w:widowControl w:val="0"/>
              <w:numPr>
                <w:ilvl w:val="0"/>
                <w:numId w:val="0"/>
              </w:numPr>
              <w:snapToGrid w:val="0"/>
              <w:spacing w:line="240" w:lineRule="atLeast"/>
              <w:rPr>
                <w:rFonts w:ascii="仿宋" w:eastAsia="仿宋" w:hAnsi="仿宋"/>
                <w:b/>
                <w:color w:val="000000" w:themeColor="text1"/>
                <w:szCs w:val="21"/>
              </w:rPr>
            </w:pPr>
            <w:r>
              <w:rPr>
                <w:rFonts w:ascii="仿宋" w:eastAsia="仿宋" w:hAnsi="仿宋" w:hint="eastAsia"/>
                <w:b/>
                <w:color w:val="000000" w:themeColor="text1"/>
                <w:szCs w:val="21"/>
              </w:rPr>
              <w:t>建设性质</w:t>
            </w:r>
          </w:p>
        </w:tc>
        <w:tc>
          <w:tcPr>
            <w:tcW w:w="1137" w:type="dxa"/>
          </w:tcPr>
          <w:p w:rsidR="007B4818" w:rsidRDefault="00D73177">
            <w:pPr>
              <w:pStyle w:val="a"/>
              <w:widowControl w:val="0"/>
              <w:numPr>
                <w:ilvl w:val="0"/>
                <w:numId w:val="0"/>
              </w:numPr>
              <w:snapToGrid w:val="0"/>
              <w:spacing w:line="240" w:lineRule="atLeast"/>
              <w:rPr>
                <w:rFonts w:ascii="仿宋" w:eastAsia="仿宋" w:hAnsi="仿宋"/>
                <w:b/>
                <w:color w:val="000000" w:themeColor="text1"/>
                <w:szCs w:val="21"/>
              </w:rPr>
            </w:pPr>
            <w:r>
              <w:rPr>
                <w:rFonts w:ascii="仿宋" w:eastAsia="仿宋" w:hAnsi="仿宋" w:hint="eastAsia"/>
                <w:b/>
                <w:color w:val="000000" w:themeColor="text1"/>
                <w:szCs w:val="21"/>
              </w:rPr>
              <w:t>建设年限</w:t>
            </w:r>
          </w:p>
        </w:tc>
        <w:tc>
          <w:tcPr>
            <w:tcW w:w="1137" w:type="dxa"/>
          </w:tcPr>
          <w:p w:rsidR="007B4818" w:rsidRDefault="00D73177">
            <w:pPr>
              <w:pStyle w:val="a"/>
              <w:widowControl w:val="0"/>
              <w:numPr>
                <w:ilvl w:val="0"/>
                <w:numId w:val="0"/>
              </w:numPr>
              <w:snapToGrid w:val="0"/>
              <w:spacing w:line="240" w:lineRule="atLeast"/>
              <w:rPr>
                <w:rFonts w:ascii="仿宋" w:eastAsia="仿宋" w:hAnsi="仿宋"/>
                <w:b/>
                <w:color w:val="000000" w:themeColor="text1"/>
                <w:szCs w:val="21"/>
              </w:rPr>
            </w:pPr>
            <w:r>
              <w:rPr>
                <w:rFonts w:ascii="仿宋" w:eastAsia="仿宋" w:hAnsi="仿宋" w:hint="eastAsia"/>
                <w:b/>
                <w:color w:val="000000" w:themeColor="text1"/>
                <w:szCs w:val="21"/>
              </w:rPr>
              <w:t>用地规模</w:t>
            </w:r>
          </w:p>
        </w:tc>
        <w:tc>
          <w:tcPr>
            <w:tcW w:w="1109" w:type="dxa"/>
          </w:tcPr>
          <w:p w:rsidR="007B4818" w:rsidRDefault="00D73177">
            <w:pPr>
              <w:pStyle w:val="a"/>
              <w:widowControl w:val="0"/>
              <w:numPr>
                <w:ilvl w:val="0"/>
                <w:numId w:val="0"/>
              </w:numPr>
              <w:snapToGrid w:val="0"/>
              <w:spacing w:line="240" w:lineRule="atLeast"/>
              <w:rPr>
                <w:rFonts w:ascii="仿宋" w:eastAsia="仿宋" w:hAnsi="仿宋"/>
                <w:b/>
                <w:color w:val="000000" w:themeColor="text1"/>
                <w:szCs w:val="21"/>
              </w:rPr>
            </w:pPr>
            <w:r>
              <w:rPr>
                <w:rFonts w:ascii="仿宋" w:eastAsia="仿宋" w:hAnsi="仿宋" w:hint="eastAsia"/>
                <w:b/>
                <w:color w:val="000000" w:themeColor="text1"/>
                <w:szCs w:val="21"/>
              </w:rPr>
              <w:t>新增建设用地</w:t>
            </w:r>
          </w:p>
        </w:tc>
        <w:tc>
          <w:tcPr>
            <w:tcW w:w="1165" w:type="dxa"/>
          </w:tcPr>
          <w:p w:rsidR="007B4818" w:rsidRDefault="00D73177">
            <w:pPr>
              <w:pStyle w:val="a"/>
              <w:widowControl w:val="0"/>
              <w:numPr>
                <w:ilvl w:val="0"/>
                <w:numId w:val="0"/>
              </w:numPr>
              <w:snapToGrid w:val="0"/>
              <w:spacing w:line="240" w:lineRule="atLeast"/>
              <w:rPr>
                <w:rFonts w:ascii="仿宋" w:eastAsia="仿宋" w:hAnsi="仿宋"/>
                <w:b/>
                <w:color w:val="000000" w:themeColor="text1"/>
                <w:szCs w:val="21"/>
              </w:rPr>
            </w:pPr>
            <w:r>
              <w:rPr>
                <w:rFonts w:ascii="仿宋" w:eastAsia="仿宋" w:hAnsi="仿宋" w:hint="eastAsia"/>
                <w:b/>
                <w:color w:val="000000" w:themeColor="text1"/>
                <w:szCs w:val="21"/>
              </w:rPr>
              <w:t>所在地区</w:t>
            </w:r>
          </w:p>
        </w:tc>
      </w:tr>
      <w:tr w:rsidR="007B4818">
        <w:tc>
          <w:tcPr>
            <w:tcW w:w="681" w:type="dxa"/>
          </w:tcPr>
          <w:p w:rsidR="007B4818" w:rsidRDefault="00D73177">
            <w:pPr>
              <w:pStyle w:val="a"/>
              <w:numPr>
                <w:ilvl w:val="0"/>
                <w:numId w:val="0"/>
              </w:numPr>
              <w:snapToGrid w:val="0"/>
              <w:spacing w:line="240" w:lineRule="atLeast"/>
              <w:rPr>
                <w:rFonts w:ascii="仿宋" w:eastAsia="仿宋" w:hAnsi="仿宋"/>
                <w:color w:val="000000" w:themeColor="text1"/>
                <w:szCs w:val="21"/>
              </w:rPr>
            </w:pPr>
            <w:r>
              <w:rPr>
                <w:rFonts w:ascii="仿宋" w:eastAsia="仿宋" w:hAnsi="仿宋"/>
                <w:color w:val="000000" w:themeColor="text1"/>
                <w:szCs w:val="21"/>
              </w:rPr>
              <w:t>1</w:t>
            </w:r>
          </w:p>
        </w:tc>
        <w:tc>
          <w:tcPr>
            <w:tcW w:w="1087" w:type="dxa"/>
          </w:tcPr>
          <w:p w:rsidR="007B4818" w:rsidRDefault="00D73177">
            <w:pPr>
              <w:pStyle w:val="a"/>
              <w:numPr>
                <w:ilvl w:val="0"/>
                <w:numId w:val="0"/>
              </w:numPr>
              <w:snapToGrid w:val="0"/>
              <w:spacing w:line="240" w:lineRule="atLeast"/>
              <w:rPr>
                <w:rFonts w:ascii="仿宋" w:eastAsia="仿宋" w:hAnsi="仿宋"/>
                <w:color w:val="000000" w:themeColor="text1"/>
                <w:szCs w:val="21"/>
              </w:rPr>
            </w:pPr>
            <w:r>
              <w:rPr>
                <w:rFonts w:ascii="仿宋" w:eastAsia="仿宋" w:hAnsi="仿宋"/>
                <w:color w:val="000000" w:themeColor="text1"/>
                <w:szCs w:val="21"/>
              </w:rPr>
              <w:t>XX</w:t>
            </w:r>
            <w:r>
              <w:rPr>
                <w:rFonts w:ascii="仿宋" w:eastAsia="仿宋" w:hAnsi="仿宋" w:hint="eastAsia"/>
                <w:color w:val="000000" w:themeColor="text1"/>
                <w:szCs w:val="21"/>
              </w:rPr>
              <w:t>类</w:t>
            </w:r>
          </w:p>
        </w:tc>
        <w:tc>
          <w:tcPr>
            <w:tcW w:w="1069" w:type="dxa"/>
          </w:tcPr>
          <w:p w:rsidR="007B4818" w:rsidRDefault="00D73177">
            <w:pPr>
              <w:pStyle w:val="a"/>
              <w:numPr>
                <w:ilvl w:val="0"/>
                <w:numId w:val="0"/>
              </w:numPr>
              <w:snapToGrid w:val="0"/>
              <w:spacing w:line="240" w:lineRule="atLeast"/>
              <w:rPr>
                <w:rFonts w:ascii="仿宋" w:eastAsia="仿宋" w:hAnsi="仿宋"/>
                <w:color w:val="000000" w:themeColor="text1"/>
                <w:szCs w:val="21"/>
              </w:rPr>
            </w:pPr>
            <w:r>
              <w:rPr>
                <w:rFonts w:ascii="仿宋" w:eastAsia="仿宋" w:hAnsi="仿宋"/>
                <w:color w:val="000000" w:themeColor="text1"/>
                <w:szCs w:val="21"/>
              </w:rPr>
              <w:t>XX</w:t>
            </w:r>
            <w:r>
              <w:rPr>
                <w:rFonts w:ascii="仿宋" w:eastAsia="仿宋" w:hAnsi="仿宋" w:hint="eastAsia"/>
                <w:color w:val="000000" w:themeColor="text1"/>
                <w:szCs w:val="21"/>
              </w:rPr>
              <w:t>项目</w:t>
            </w:r>
          </w:p>
        </w:tc>
        <w:tc>
          <w:tcPr>
            <w:tcW w:w="1137" w:type="dxa"/>
          </w:tcPr>
          <w:p w:rsidR="007B4818" w:rsidRDefault="00D73177">
            <w:pPr>
              <w:pStyle w:val="a"/>
              <w:numPr>
                <w:ilvl w:val="0"/>
                <w:numId w:val="0"/>
              </w:numPr>
              <w:snapToGrid w:val="0"/>
              <w:spacing w:line="240" w:lineRule="atLeast"/>
              <w:jc w:val="both"/>
              <w:rPr>
                <w:rFonts w:ascii="仿宋" w:eastAsia="仿宋" w:hAnsi="仿宋"/>
                <w:color w:val="000000" w:themeColor="text1"/>
                <w:szCs w:val="21"/>
              </w:rPr>
            </w:pPr>
            <w:r>
              <w:rPr>
                <w:rFonts w:ascii="仿宋" w:eastAsia="仿宋" w:hAnsi="仿宋" w:hint="eastAsia"/>
                <w:color w:val="000000" w:themeColor="text1"/>
                <w:szCs w:val="21"/>
              </w:rPr>
              <w:t>新建</w:t>
            </w:r>
            <w:r>
              <w:rPr>
                <w:rFonts w:ascii="仿宋" w:eastAsia="仿宋" w:hAnsi="仿宋"/>
                <w:color w:val="000000" w:themeColor="text1"/>
                <w:szCs w:val="21"/>
              </w:rPr>
              <w:t>/改扩建</w:t>
            </w:r>
          </w:p>
        </w:tc>
        <w:tc>
          <w:tcPr>
            <w:tcW w:w="1137" w:type="dxa"/>
          </w:tcPr>
          <w:p w:rsidR="007B4818" w:rsidRDefault="007B4818">
            <w:pPr>
              <w:pStyle w:val="a"/>
              <w:numPr>
                <w:ilvl w:val="0"/>
                <w:numId w:val="0"/>
              </w:numPr>
              <w:snapToGrid w:val="0"/>
              <w:spacing w:line="240" w:lineRule="atLeast"/>
              <w:jc w:val="both"/>
              <w:rPr>
                <w:rFonts w:ascii="仿宋" w:eastAsia="仿宋" w:hAnsi="仿宋"/>
                <w:color w:val="000000" w:themeColor="text1"/>
                <w:szCs w:val="21"/>
              </w:rPr>
            </w:pPr>
          </w:p>
        </w:tc>
        <w:tc>
          <w:tcPr>
            <w:tcW w:w="1137" w:type="dxa"/>
          </w:tcPr>
          <w:p w:rsidR="007B4818" w:rsidRDefault="007B4818">
            <w:pPr>
              <w:pStyle w:val="a"/>
              <w:numPr>
                <w:ilvl w:val="0"/>
                <w:numId w:val="0"/>
              </w:numPr>
              <w:snapToGrid w:val="0"/>
              <w:spacing w:line="240" w:lineRule="atLeast"/>
              <w:jc w:val="both"/>
              <w:rPr>
                <w:rFonts w:ascii="仿宋" w:eastAsia="仿宋" w:hAnsi="仿宋"/>
                <w:color w:val="000000" w:themeColor="text1"/>
                <w:szCs w:val="21"/>
              </w:rPr>
            </w:pPr>
          </w:p>
        </w:tc>
        <w:tc>
          <w:tcPr>
            <w:tcW w:w="1109" w:type="dxa"/>
          </w:tcPr>
          <w:p w:rsidR="007B4818" w:rsidRDefault="007B4818">
            <w:pPr>
              <w:pStyle w:val="a"/>
              <w:numPr>
                <w:ilvl w:val="0"/>
                <w:numId w:val="0"/>
              </w:numPr>
              <w:snapToGrid w:val="0"/>
              <w:spacing w:line="240" w:lineRule="atLeast"/>
              <w:jc w:val="both"/>
              <w:rPr>
                <w:rFonts w:ascii="仿宋" w:eastAsia="仿宋" w:hAnsi="仿宋"/>
                <w:color w:val="000000" w:themeColor="text1"/>
                <w:szCs w:val="21"/>
              </w:rPr>
            </w:pPr>
          </w:p>
        </w:tc>
        <w:tc>
          <w:tcPr>
            <w:tcW w:w="1165" w:type="dxa"/>
          </w:tcPr>
          <w:p w:rsidR="007B4818" w:rsidRDefault="007B4818">
            <w:pPr>
              <w:pStyle w:val="a"/>
              <w:numPr>
                <w:ilvl w:val="0"/>
                <w:numId w:val="0"/>
              </w:numPr>
              <w:snapToGrid w:val="0"/>
              <w:spacing w:line="240" w:lineRule="atLeast"/>
              <w:jc w:val="both"/>
              <w:rPr>
                <w:rFonts w:ascii="仿宋" w:eastAsia="仿宋" w:hAnsi="仿宋"/>
                <w:color w:val="000000" w:themeColor="text1"/>
                <w:szCs w:val="21"/>
              </w:rPr>
            </w:pPr>
          </w:p>
        </w:tc>
      </w:tr>
      <w:tr w:rsidR="007B4818">
        <w:tc>
          <w:tcPr>
            <w:tcW w:w="681" w:type="dxa"/>
          </w:tcPr>
          <w:p w:rsidR="007B4818" w:rsidRDefault="00D73177">
            <w:pPr>
              <w:pStyle w:val="a"/>
              <w:numPr>
                <w:ilvl w:val="0"/>
                <w:numId w:val="0"/>
              </w:numPr>
              <w:snapToGrid w:val="0"/>
              <w:spacing w:line="240" w:lineRule="atLeast"/>
              <w:rPr>
                <w:rFonts w:ascii="仿宋" w:eastAsia="仿宋" w:hAnsi="仿宋"/>
                <w:color w:val="000000" w:themeColor="text1"/>
                <w:szCs w:val="21"/>
              </w:rPr>
            </w:pPr>
            <w:r>
              <w:rPr>
                <w:rFonts w:ascii="仿宋" w:eastAsia="仿宋" w:hAnsi="仿宋"/>
                <w:color w:val="000000" w:themeColor="text1"/>
                <w:szCs w:val="21"/>
              </w:rPr>
              <w:t>2</w:t>
            </w:r>
          </w:p>
        </w:tc>
        <w:tc>
          <w:tcPr>
            <w:tcW w:w="1087" w:type="dxa"/>
          </w:tcPr>
          <w:p w:rsidR="007B4818" w:rsidRDefault="007B4818">
            <w:pPr>
              <w:pStyle w:val="a"/>
              <w:numPr>
                <w:ilvl w:val="0"/>
                <w:numId w:val="0"/>
              </w:numPr>
              <w:snapToGrid w:val="0"/>
              <w:spacing w:line="240" w:lineRule="atLeast"/>
              <w:rPr>
                <w:rFonts w:ascii="仿宋" w:eastAsia="仿宋" w:hAnsi="仿宋"/>
                <w:color w:val="000000" w:themeColor="text1"/>
                <w:szCs w:val="21"/>
              </w:rPr>
            </w:pPr>
          </w:p>
        </w:tc>
        <w:tc>
          <w:tcPr>
            <w:tcW w:w="1069" w:type="dxa"/>
          </w:tcPr>
          <w:p w:rsidR="007B4818" w:rsidRDefault="007B4818">
            <w:pPr>
              <w:pStyle w:val="a"/>
              <w:numPr>
                <w:ilvl w:val="0"/>
                <w:numId w:val="0"/>
              </w:numPr>
              <w:snapToGrid w:val="0"/>
              <w:spacing w:line="240" w:lineRule="atLeast"/>
              <w:rPr>
                <w:rFonts w:ascii="仿宋" w:eastAsia="仿宋" w:hAnsi="仿宋"/>
                <w:color w:val="000000" w:themeColor="text1"/>
                <w:szCs w:val="21"/>
              </w:rPr>
            </w:pPr>
          </w:p>
        </w:tc>
        <w:tc>
          <w:tcPr>
            <w:tcW w:w="1137" w:type="dxa"/>
          </w:tcPr>
          <w:p w:rsidR="007B4818" w:rsidRDefault="007B4818">
            <w:pPr>
              <w:pStyle w:val="a"/>
              <w:numPr>
                <w:ilvl w:val="0"/>
                <w:numId w:val="0"/>
              </w:numPr>
              <w:snapToGrid w:val="0"/>
              <w:spacing w:line="240" w:lineRule="atLeast"/>
              <w:jc w:val="both"/>
              <w:rPr>
                <w:rFonts w:ascii="仿宋" w:eastAsia="仿宋" w:hAnsi="仿宋"/>
                <w:color w:val="000000" w:themeColor="text1"/>
                <w:szCs w:val="21"/>
              </w:rPr>
            </w:pPr>
          </w:p>
        </w:tc>
        <w:tc>
          <w:tcPr>
            <w:tcW w:w="1137" w:type="dxa"/>
          </w:tcPr>
          <w:p w:rsidR="007B4818" w:rsidRDefault="007B4818">
            <w:pPr>
              <w:pStyle w:val="a"/>
              <w:numPr>
                <w:ilvl w:val="0"/>
                <w:numId w:val="0"/>
              </w:numPr>
              <w:snapToGrid w:val="0"/>
              <w:spacing w:line="240" w:lineRule="atLeast"/>
              <w:jc w:val="both"/>
              <w:rPr>
                <w:rFonts w:ascii="仿宋" w:eastAsia="仿宋" w:hAnsi="仿宋"/>
                <w:color w:val="000000" w:themeColor="text1"/>
                <w:szCs w:val="21"/>
              </w:rPr>
            </w:pPr>
          </w:p>
        </w:tc>
        <w:tc>
          <w:tcPr>
            <w:tcW w:w="1137" w:type="dxa"/>
          </w:tcPr>
          <w:p w:rsidR="007B4818" w:rsidRDefault="007B4818">
            <w:pPr>
              <w:pStyle w:val="a"/>
              <w:numPr>
                <w:ilvl w:val="0"/>
                <w:numId w:val="0"/>
              </w:numPr>
              <w:snapToGrid w:val="0"/>
              <w:spacing w:line="240" w:lineRule="atLeast"/>
              <w:jc w:val="both"/>
              <w:rPr>
                <w:rFonts w:ascii="仿宋" w:eastAsia="仿宋" w:hAnsi="仿宋"/>
                <w:color w:val="000000" w:themeColor="text1"/>
                <w:szCs w:val="21"/>
              </w:rPr>
            </w:pPr>
          </w:p>
        </w:tc>
        <w:tc>
          <w:tcPr>
            <w:tcW w:w="1109" w:type="dxa"/>
          </w:tcPr>
          <w:p w:rsidR="007B4818" w:rsidRDefault="007B4818">
            <w:pPr>
              <w:pStyle w:val="a"/>
              <w:numPr>
                <w:ilvl w:val="0"/>
                <w:numId w:val="0"/>
              </w:numPr>
              <w:snapToGrid w:val="0"/>
              <w:spacing w:line="240" w:lineRule="atLeast"/>
              <w:jc w:val="both"/>
              <w:rPr>
                <w:rFonts w:ascii="仿宋" w:eastAsia="仿宋" w:hAnsi="仿宋"/>
                <w:color w:val="000000" w:themeColor="text1"/>
                <w:szCs w:val="21"/>
              </w:rPr>
            </w:pPr>
          </w:p>
        </w:tc>
        <w:tc>
          <w:tcPr>
            <w:tcW w:w="1165" w:type="dxa"/>
          </w:tcPr>
          <w:p w:rsidR="007B4818" w:rsidRDefault="007B4818">
            <w:pPr>
              <w:pStyle w:val="a"/>
              <w:numPr>
                <w:ilvl w:val="0"/>
                <w:numId w:val="0"/>
              </w:numPr>
              <w:snapToGrid w:val="0"/>
              <w:spacing w:line="240" w:lineRule="atLeast"/>
              <w:jc w:val="both"/>
              <w:rPr>
                <w:rFonts w:ascii="仿宋" w:eastAsia="仿宋" w:hAnsi="仿宋"/>
                <w:color w:val="000000" w:themeColor="text1"/>
                <w:szCs w:val="21"/>
              </w:rPr>
            </w:pPr>
          </w:p>
        </w:tc>
      </w:tr>
      <w:tr w:rsidR="007B4818">
        <w:tc>
          <w:tcPr>
            <w:tcW w:w="681" w:type="dxa"/>
          </w:tcPr>
          <w:p w:rsidR="007B4818" w:rsidRDefault="00D73177">
            <w:pPr>
              <w:pStyle w:val="a"/>
              <w:numPr>
                <w:ilvl w:val="0"/>
                <w:numId w:val="0"/>
              </w:numPr>
              <w:snapToGrid w:val="0"/>
              <w:spacing w:line="240" w:lineRule="atLeast"/>
              <w:rPr>
                <w:rFonts w:ascii="仿宋" w:eastAsia="仿宋" w:hAnsi="仿宋"/>
                <w:color w:val="000000" w:themeColor="text1"/>
                <w:szCs w:val="21"/>
              </w:rPr>
            </w:pPr>
            <w:r>
              <w:rPr>
                <w:rFonts w:ascii="仿宋" w:eastAsia="仿宋" w:hAnsi="仿宋"/>
                <w:color w:val="000000" w:themeColor="text1"/>
                <w:szCs w:val="21"/>
              </w:rPr>
              <w:t>3</w:t>
            </w:r>
          </w:p>
        </w:tc>
        <w:tc>
          <w:tcPr>
            <w:tcW w:w="1087" w:type="dxa"/>
          </w:tcPr>
          <w:p w:rsidR="007B4818" w:rsidRDefault="007B4818">
            <w:pPr>
              <w:pStyle w:val="a"/>
              <w:numPr>
                <w:ilvl w:val="0"/>
                <w:numId w:val="0"/>
              </w:numPr>
              <w:snapToGrid w:val="0"/>
              <w:spacing w:line="240" w:lineRule="atLeast"/>
              <w:rPr>
                <w:rFonts w:ascii="仿宋" w:eastAsia="仿宋" w:hAnsi="仿宋"/>
                <w:color w:val="000000" w:themeColor="text1"/>
                <w:szCs w:val="21"/>
              </w:rPr>
            </w:pPr>
          </w:p>
        </w:tc>
        <w:tc>
          <w:tcPr>
            <w:tcW w:w="1069" w:type="dxa"/>
          </w:tcPr>
          <w:p w:rsidR="007B4818" w:rsidRDefault="007B4818">
            <w:pPr>
              <w:pStyle w:val="a"/>
              <w:numPr>
                <w:ilvl w:val="0"/>
                <w:numId w:val="0"/>
              </w:numPr>
              <w:snapToGrid w:val="0"/>
              <w:spacing w:line="240" w:lineRule="atLeast"/>
              <w:rPr>
                <w:rFonts w:ascii="仿宋" w:eastAsia="仿宋" w:hAnsi="仿宋"/>
                <w:color w:val="000000" w:themeColor="text1"/>
                <w:szCs w:val="21"/>
              </w:rPr>
            </w:pPr>
          </w:p>
        </w:tc>
        <w:tc>
          <w:tcPr>
            <w:tcW w:w="1137" w:type="dxa"/>
          </w:tcPr>
          <w:p w:rsidR="007B4818" w:rsidRDefault="007B4818">
            <w:pPr>
              <w:pStyle w:val="a"/>
              <w:numPr>
                <w:ilvl w:val="0"/>
                <w:numId w:val="0"/>
              </w:numPr>
              <w:snapToGrid w:val="0"/>
              <w:spacing w:line="240" w:lineRule="atLeast"/>
              <w:jc w:val="both"/>
              <w:rPr>
                <w:rFonts w:ascii="仿宋" w:eastAsia="仿宋" w:hAnsi="仿宋"/>
                <w:color w:val="000000" w:themeColor="text1"/>
                <w:szCs w:val="21"/>
              </w:rPr>
            </w:pPr>
          </w:p>
        </w:tc>
        <w:tc>
          <w:tcPr>
            <w:tcW w:w="1137" w:type="dxa"/>
          </w:tcPr>
          <w:p w:rsidR="007B4818" w:rsidRDefault="007B4818">
            <w:pPr>
              <w:pStyle w:val="a"/>
              <w:numPr>
                <w:ilvl w:val="0"/>
                <w:numId w:val="0"/>
              </w:numPr>
              <w:snapToGrid w:val="0"/>
              <w:spacing w:line="240" w:lineRule="atLeast"/>
              <w:jc w:val="both"/>
              <w:rPr>
                <w:rFonts w:ascii="仿宋" w:eastAsia="仿宋" w:hAnsi="仿宋"/>
                <w:color w:val="000000" w:themeColor="text1"/>
                <w:szCs w:val="21"/>
              </w:rPr>
            </w:pPr>
          </w:p>
        </w:tc>
        <w:tc>
          <w:tcPr>
            <w:tcW w:w="1137" w:type="dxa"/>
          </w:tcPr>
          <w:p w:rsidR="007B4818" w:rsidRDefault="007B4818">
            <w:pPr>
              <w:pStyle w:val="a"/>
              <w:numPr>
                <w:ilvl w:val="0"/>
                <w:numId w:val="0"/>
              </w:numPr>
              <w:snapToGrid w:val="0"/>
              <w:spacing w:line="240" w:lineRule="atLeast"/>
              <w:jc w:val="both"/>
              <w:rPr>
                <w:rFonts w:ascii="仿宋" w:eastAsia="仿宋" w:hAnsi="仿宋"/>
                <w:color w:val="000000" w:themeColor="text1"/>
                <w:szCs w:val="21"/>
              </w:rPr>
            </w:pPr>
          </w:p>
        </w:tc>
        <w:tc>
          <w:tcPr>
            <w:tcW w:w="1109" w:type="dxa"/>
          </w:tcPr>
          <w:p w:rsidR="007B4818" w:rsidRDefault="007B4818">
            <w:pPr>
              <w:pStyle w:val="a"/>
              <w:numPr>
                <w:ilvl w:val="0"/>
                <w:numId w:val="0"/>
              </w:numPr>
              <w:snapToGrid w:val="0"/>
              <w:spacing w:line="240" w:lineRule="atLeast"/>
              <w:jc w:val="both"/>
              <w:rPr>
                <w:rFonts w:ascii="仿宋" w:eastAsia="仿宋" w:hAnsi="仿宋"/>
                <w:color w:val="000000" w:themeColor="text1"/>
                <w:szCs w:val="21"/>
              </w:rPr>
            </w:pPr>
          </w:p>
        </w:tc>
        <w:tc>
          <w:tcPr>
            <w:tcW w:w="1165" w:type="dxa"/>
          </w:tcPr>
          <w:p w:rsidR="007B4818" w:rsidRDefault="007B4818">
            <w:pPr>
              <w:pStyle w:val="a"/>
              <w:numPr>
                <w:ilvl w:val="0"/>
                <w:numId w:val="0"/>
              </w:numPr>
              <w:snapToGrid w:val="0"/>
              <w:spacing w:line="240" w:lineRule="atLeast"/>
              <w:jc w:val="both"/>
              <w:rPr>
                <w:rFonts w:ascii="仿宋" w:eastAsia="仿宋" w:hAnsi="仿宋"/>
                <w:color w:val="000000" w:themeColor="text1"/>
                <w:szCs w:val="21"/>
              </w:rPr>
            </w:pPr>
          </w:p>
        </w:tc>
      </w:tr>
      <w:tr w:rsidR="007B4818">
        <w:tc>
          <w:tcPr>
            <w:tcW w:w="681" w:type="dxa"/>
          </w:tcPr>
          <w:p w:rsidR="007B4818" w:rsidRDefault="00D73177">
            <w:pPr>
              <w:jc w:val="center"/>
              <w:rPr>
                <w:color w:val="000000" w:themeColor="text1"/>
              </w:rPr>
            </w:pPr>
            <w:r>
              <w:rPr>
                <w:color w:val="000000" w:themeColor="text1"/>
              </w:rPr>
              <w:t>······</w:t>
            </w:r>
          </w:p>
        </w:tc>
        <w:tc>
          <w:tcPr>
            <w:tcW w:w="1087" w:type="dxa"/>
          </w:tcPr>
          <w:p w:rsidR="007B4818" w:rsidRDefault="007B4818">
            <w:pPr>
              <w:jc w:val="center"/>
              <w:rPr>
                <w:color w:val="000000" w:themeColor="text1"/>
              </w:rPr>
            </w:pPr>
          </w:p>
        </w:tc>
        <w:tc>
          <w:tcPr>
            <w:tcW w:w="1069" w:type="dxa"/>
          </w:tcPr>
          <w:p w:rsidR="007B4818" w:rsidRDefault="007B4818">
            <w:pPr>
              <w:jc w:val="center"/>
              <w:rPr>
                <w:color w:val="000000" w:themeColor="text1"/>
              </w:rPr>
            </w:pPr>
          </w:p>
        </w:tc>
        <w:tc>
          <w:tcPr>
            <w:tcW w:w="1137" w:type="dxa"/>
          </w:tcPr>
          <w:p w:rsidR="007B4818" w:rsidRDefault="007B4818">
            <w:pPr>
              <w:rPr>
                <w:color w:val="000000" w:themeColor="text1"/>
              </w:rPr>
            </w:pPr>
          </w:p>
        </w:tc>
        <w:tc>
          <w:tcPr>
            <w:tcW w:w="1137" w:type="dxa"/>
          </w:tcPr>
          <w:p w:rsidR="007B4818" w:rsidRDefault="007B4818">
            <w:pPr>
              <w:rPr>
                <w:color w:val="000000" w:themeColor="text1"/>
              </w:rPr>
            </w:pPr>
          </w:p>
        </w:tc>
        <w:tc>
          <w:tcPr>
            <w:tcW w:w="1137" w:type="dxa"/>
          </w:tcPr>
          <w:p w:rsidR="007B4818" w:rsidRDefault="007B4818">
            <w:pPr>
              <w:rPr>
                <w:color w:val="000000" w:themeColor="text1"/>
              </w:rPr>
            </w:pPr>
          </w:p>
        </w:tc>
        <w:tc>
          <w:tcPr>
            <w:tcW w:w="1109" w:type="dxa"/>
          </w:tcPr>
          <w:p w:rsidR="007B4818" w:rsidRDefault="007B4818">
            <w:pPr>
              <w:rPr>
                <w:color w:val="000000" w:themeColor="text1"/>
              </w:rPr>
            </w:pPr>
          </w:p>
        </w:tc>
        <w:tc>
          <w:tcPr>
            <w:tcW w:w="1165" w:type="dxa"/>
          </w:tcPr>
          <w:p w:rsidR="007B4818" w:rsidRDefault="007B4818">
            <w:pPr>
              <w:rPr>
                <w:color w:val="000000" w:themeColor="text1"/>
              </w:rPr>
            </w:pPr>
          </w:p>
        </w:tc>
      </w:tr>
    </w:tbl>
    <w:p w:rsidR="007B4818" w:rsidRDefault="00D73177">
      <w:pPr>
        <w:rPr>
          <w:color w:val="000000" w:themeColor="text1"/>
        </w:rPr>
      </w:pPr>
      <w:r>
        <w:rPr>
          <w:color w:val="000000" w:themeColor="text1"/>
        </w:rPr>
        <w:br w:type="page"/>
      </w:r>
    </w:p>
    <w:p w:rsidR="007B4818" w:rsidRDefault="007B4818">
      <w:pPr>
        <w:rPr>
          <w:color w:val="000000" w:themeColor="text1"/>
        </w:rPr>
      </w:pPr>
    </w:p>
    <w:p w:rsidR="007B4818" w:rsidRDefault="00D73177">
      <w:pPr>
        <w:pStyle w:val="1"/>
        <w:numPr>
          <w:ilvl w:val="0"/>
          <w:numId w:val="0"/>
        </w:numPr>
        <w:spacing w:line="240" w:lineRule="auto"/>
        <w:ind w:left="425" w:hanging="425"/>
        <w:jc w:val="both"/>
        <w:rPr>
          <w:color w:val="000000" w:themeColor="text1"/>
          <w:szCs w:val="32"/>
        </w:rPr>
      </w:pPr>
      <w:bookmarkStart w:id="242" w:name="_Toc13304"/>
      <w:bookmarkStart w:id="243" w:name="_Toc19872"/>
      <w:bookmarkStart w:id="244" w:name="_Toc44611605"/>
      <w:bookmarkStart w:id="245" w:name="_Toc38876649"/>
      <w:bookmarkStart w:id="246" w:name="_Toc30976"/>
      <w:bookmarkStart w:id="247" w:name="_Toc4776"/>
      <w:bookmarkStart w:id="248" w:name="_Toc1343"/>
      <w:r>
        <w:rPr>
          <w:rFonts w:hint="eastAsia"/>
          <w:color w:val="000000" w:themeColor="text1"/>
          <w:szCs w:val="32"/>
        </w:rPr>
        <w:t>附录</w:t>
      </w:r>
      <w:r>
        <w:rPr>
          <w:color w:val="000000" w:themeColor="text1"/>
          <w:szCs w:val="32"/>
        </w:rPr>
        <w:t xml:space="preserve">E  </w:t>
      </w:r>
      <w:r>
        <w:rPr>
          <w:rFonts w:hint="eastAsia"/>
          <w:color w:val="000000" w:themeColor="text1"/>
          <w:szCs w:val="32"/>
        </w:rPr>
        <w:t>规划指标体系</w:t>
      </w:r>
      <w:bookmarkEnd w:id="242"/>
      <w:bookmarkEnd w:id="243"/>
      <w:bookmarkEnd w:id="244"/>
      <w:bookmarkEnd w:id="245"/>
      <w:bookmarkEnd w:id="246"/>
      <w:bookmarkEnd w:id="247"/>
      <w:bookmarkEnd w:id="248"/>
    </w:p>
    <w:p w:rsidR="007B4818" w:rsidRDefault="00D73177">
      <w:pPr>
        <w:pStyle w:val="a4"/>
        <w:spacing w:line="40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表E.1：规划指标体系表</w:t>
      </w:r>
    </w:p>
    <w:tbl>
      <w:tblPr>
        <w:tblW w:w="8242" w:type="dxa"/>
        <w:jc w:val="center"/>
        <w:tblLayout w:type="fixed"/>
        <w:tblLook w:val="04A0"/>
      </w:tblPr>
      <w:tblGrid>
        <w:gridCol w:w="677"/>
        <w:gridCol w:w="4677"/>
        <w:gridCol w:w="1134"/>
        <w:gridCol w:w="1754"/>
      </w:tblGrid>
      <w:tr w:rsidR="007B4818">
        <w:trPr>
          <w:trHeight w:val="340"/>
          <w:jc w:val="center"/>
        </w:trPr>
        <w:tc>
          <w:tcPr>
            <w:tcW w:w="677" w:type="dxa"/>
            <w:tcBorders>
              <w:top w:val="single" w:sz="8" w:space="0" w:color="auto"/>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b/>
                <w:bCs/>
                <w:color w:val="000000" w:themeColor="text1"/>
                <w:kern w:val="0"/>
                <w:szCs w:val="21"/>
              </w:rPr>
              <w:t>编号</w:t>
            </w:r>
          </w:p>
        </w:tc>
        <w:tc>
          <w:tcPr>
            <w:tcW w:w="4677" w:type="dxa"/>
            <w:tcBorders>
              <w:top w:val="single" w:sz="8" w:space="0" w:color="auto"/>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b/>
                <w:bCs/>
                <w:color w:val="000000" w:themeColor="text1"/>
                <w:kern w:val="0"/>
                <w:szCs w:val="21"/>
              </w:rPr>
              <w:t>指标项</w:t>
            </w:r>
          </w:p>
        </w:tc>
        <w:tc>
          <w:tcPr>
            <w:tcW w:w="1134" w:type="dxa"/>
            <w:tcBorders>
              <w:top w:val="single" w:sz="8" w:space="0" w:color="auto"/>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b/>
                <w:bCs/>
                <w:color w:val="000000" w:themeColor="text1"/>
                <w:kern w:val="0"/>
                <w:szCs w:val="21"/>
              </w:rPr>
              <w:t>指标属性</w:t>
            </w:r>
          </w:p>
        </w:tc>
        <w:tc>
          <w:tcPr>
            <w:tcW w:w="1754" w:type="dxa"/>
            <w:tcBorders>
              <w:top w:val="single" w:sz="8" w:space="0" w:color="auto"/>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b/>
                <w:bCs/>
                <w:color w:val="000000" w:themeColor="text1"/>
                <w:kern w:val="0"/>
                <w:szCs w:val="21"/>
              </w:rPr>
              <w:t>指标层级</w:t>
            </w:r>
          </w:p>
        </w:tc>
      </w:tr>
      <w:tr w:rsidR="007B4818">
        <w:trPr>
          <w:trHeight w:val="340"/>
          <w:jc w:val="center"/>
        </w:trPr>
        <w:tc>
          <w:tcPr>
            <w:tcW w:w="824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B4818" w:rsidRDefault="00D73177">
            <w:pPr>
              <w:widowControl/>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b/>
                <w:bCs/>
                <w:color w:val="000000" w:themeColor="text1"/>
                <w:kern w:val="0"/>
                <w:szCs w:val="21"/>
              </w:rPr>
              <w:t>一、空间底线</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1</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生态保护红线面积（平方公里）</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约束性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市域</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2</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用水总量（亿立方米）</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约束性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市域</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3</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永久基本农田保护面积（平方公里）</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约束性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市域</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4</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耕地保有量（平方公里）</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约束性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市域</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5</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建设用地总面积（平方公里）</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约束性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市域</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6</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城乡建设用地面积（平方公里）</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约束性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市域</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7</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林地保有量（平方公里）</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约束性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市域</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8</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基本草原面积（平方公里）</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约束性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市域</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9</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湿地面积（平方公里）</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约束性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市域</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10</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大陆自然海岸线保有率（%）</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约束性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市域</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11</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自然和文化遗产（处）</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预期性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市域</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12</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地下水水位（米）</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建议性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市域</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13</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新能源和可再生能源比例（%）</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建议性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市域</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14</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本地指示性物种种类</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建议性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市域</w:t>
            </w:r>
          </w:p>
        </w:tc>
      </w:tr>
      <w:tr w:rsidR="007B4818">
        <w:trPr>
          <w:trHeight w:val="340"/>
          <w:jc w:val="center"/>
        </w:trPr>
        <w:tc>
          <w:tcPr>
            <w:tcW w:w="824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B4818" w:rsidRDefault="00D73177">
            <w:pPr>
              <w:widowControl/>
              <w:jc w:val="left"/>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b/>
                <w:bCs/>
                <w:color w:val="000000" w:themeColor="text1"/>
                <w:kern w:val="0"/>
                <w:szCs w:val="21"/>
              </w:rPr>
              <w:t>二、空间结构与效率</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15</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常住人口规模（万人）</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预期性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市域、中心城区</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16</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常住人口城镇化率（%）</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预期性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市域</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17</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人均城镇建设用地面积（平方米）</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约束性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市域、中心城区</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18</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人均应急避难场所面积（平方米）</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预期性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中心城区</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19</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道路网密度（千米/平方公里）</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约束性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中心城区</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20</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轨道交通站点800米半径服务覆盖率（%）</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建议性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中心城区</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21</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都市圈1小时人口覆盖率（%）</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建议性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市域</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22</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每万元GDP水耗（立方米）</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预期性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市域</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23</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每万元GDP地</w:t>
            </w:r>
            <w:r>
              <w:rPr>
                <w:rFonts w:ascii="仿宋_GB2312" w:eastAsia="仿宋_GB2312" w:hAnsi="仿宋_GB2312" w:cs="仿宋_GB2312"/>
                <w:color w:val="000000" w:themeColor="text1"/>
                <w:kern w:val="0"/>
                <w:szCs w:val="21"/>
              </w:rPr>
              <w:t>耗</w:t>
            </w:r>
            <w:r>
              <w:rPr>
                <w:rFonts w:ascii="仿宋_GB2312" w:eastAsia="仿宋_GB2312" w:hAnsi="仿宋_GB2312" w:cs="仿宋_GB2312" w:hint="eastAsia"/>
                <w:color w:val="000000" w:themeColor="text1"/>
                <w:kern w:val="0"/>
                <w:szCs w:val="21"/>
              </w:rPr>
              <w:t>（平方米）</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预期性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市域</w:t>
            </w:r>
          </w:p>
        </w:tc>
      </w:tr>
      <w:tr w:rsidR="007B4818">
        <w:trPr>
          <w:trHeight w:val="340"/>
          <w:jc w:val="center"/>
        </w:trPr>
        <w:tc>
          <w:tcPr>
            <w:tcW w:w="824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B4818" w:rsidRDefault="00D73177">
            <w:pPr>
              <w:widowControl/>
              <w:jc w:val="left"/>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b/>
                <w:bCs/>
                <w:color w:val="000000" w:themeColor="text1"/>
                <w:kern w:val="0"/>
                <w:szCs w:val="21"/>
              </w:rPr>
              <w:t>三、空间品质</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24</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公园绿地、广场步行5分钟覆盖率（%）</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约束性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中心城区</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25</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卫生、养老、教育、文化、体育等社区公共服务设施步行15分钟覆盖率（%）</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预期性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中心城区</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26</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城镇人均住房面积（平方米）</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预期性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市域</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27</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每千名老年人养老床位数（张）</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预期性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市域</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28</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每千人口医疗卫生机构床位数（张）</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预期性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市域</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29</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人均体育用地面积（平方米）</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预期性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中心城区</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30</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人均公园绿地面积（平方米）</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预期性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中心城区</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31</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绿色交通出行比例（%）</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预期性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中心城区</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32</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工作日平均通勤时间（分钟）</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建议性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中心城区</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33</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降雨就地消纳率（%）</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预期性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中心城区</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34</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城镇生活垃圾回收利用率（%）</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预期性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中心城区</w:t>
            </w:r>
          </w:p>
        </w:tc>
      </w:tr>
      <w:tr w:rsidR="007B4818">
        <w:trPr>
          <w:trHeight w:val="340"/>
          <w:jc w:val="center"/>
        </w:trPr>
        <w:tc>
          <w:tcPr>
            <w:tcW w:w="677" w:type="dxa"/>
            <w:tcBorders>
              <w:top w:val="nil"/>
              <w:left w:val="single" w:sz="8" w:space="0" w:color="auto"/>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35</w:t>
            </w:r>
          </w:p>
        </w:tc>
        <w:tc>
          <w:tcPr>
            <w:tcW w:w="4677" w:type="dxa"/>
            <w:tcBorders>
              <w:top w:val="nil"/>
              <w:left w:val="nil"/>
              <w:bottom w:val="single" w:sz="8" w:space="0" w:color="auto"/>
              <w:right w:val="single" w:sz="8" w:space="0" w:color="auto"/>
            </w:tcBorders>
            <w:shd w:val="clear" w:color="auto" w:fill="auto"/>
            <w:vAlign w:val="center"/>
          </w:tcPr>
          <w:p w:rsidR="007B4818" w:rsidRDefault="00D73177">
            <w:pPr>
              <w:widowControl/>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农村生活垃圾处理率（%）</w:t>
            </w:r>
          </w:p>
        </w:tc>
        <w:tc>
          <w:tcPr>
            <w:tcW w:w="113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预期性</w:t>
            </w:r>
          </w:p>
        </w:tc>
        <w:tc>
          <w:tcPr>
            <w:tcW w:w="1754" w:type="dxa"/>
            <w:tcBorders>
              <w:top w:val="nil"/>
              <w:left w:val="nil"/>
              <w:bottom w:val="single" w:sz="8" w:space="0" w:color="auto"/>
              <w:right w:val="single" w:sz="8" w:space="0" w:color="auto"/>
            </w:tcBorders>
            <w:shd w:val="clear" w:color="auto" w:fill="auto"/>
            <w:vAlign w:val="center"/>
          </w:tcPr>
          <w:p w:rsidR="007B4818" w:rsidRDefault="00D73177">
            <w:pPr>
              <w:widowControl/>
              <w:jc w:val="cente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市域</w:t>
            </w:r>
          </w:p>
        </w:tc>
      </w:tr>
    </w:tbl>
    <w:p w:rsidR="007B4818" w:rsidRDefault="00D73177">
      <w:pP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注：各地可因地制宜增加相应指标。</w:t>
      </w:r>
    </w:p>
    <w:p w:rsidR="007B4818" w:rsidRDefault="007B4818">
      <w:pPr>
        <w:spacing w:line="360" w:lineRule="auto"/>
        <w:ind w:firstLineChars="200" w:firstLine="422"/>
        <w:rPr>
          <w:rFonts w:ascii="仿宋" w:eastAsia="仿宋" w:hAnsi="仿宋" w:cs="Times New Roman"/>
          <w:b/>
          <w:color w:val="000000" w:themeColor="text1"/>
          <w:szCs w:val="21"/>
        </w:rPr>
      </w:pPr>
    </w:p>
    <w:p w:rsidR="007B4818" w:rsidRDefault="00D73177">
      <w:pPr>
        <w:spacing w:line="360" w:lineRule="auto"/>
        <w:ind w:firstLineChars="200" w:firstLine="643"/>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（1）指标分类</w:t>
      </w:r>
    </w:p>
    <w:p w:rsidR="007B4818" w:rsidRDefault="00D73177">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按指标性质分为约束性指标、预期性指标和建议性指标。约束性指标是为实现规划目标，在规划期内不得突破或必须实现的指标；预期性指标是指按照经济社会发展预期，规划期内努力实现或不突破的指标；建议性指标是指可根据地方实际选取的规划指标。</w:t>
      </w:r>
    </w:p>
    <w:p w:rsidR="007B4818" w:rsidRDefault="00D73177">
      <w:pPr>
        <w:spacing w:line="360" w:lineRule="auto"/>
        <w:ind w:firstLineChars="200" w:firstLine="643"/>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（2）指标</w:t>
      </w:r>
      <w:r>
        <w:rPr>
          <w:rFonts w:ascii="仿宋_GB2312" w:eastAsia="仿宋_GB2312" w:hAnsi="仿宋_GB2312" w:cs="仿宋_GB2312"/>
          <w:b/>
          <w:color w:val="000000" w:themeColor="text1"/>
          <w:sz w:val="32"/>
          <w:szCs w:val="32"/>
        </w:rPr>
        <w:t>涵义</w:t>
      </w:r>
    </w:p>
    <w:p w:rsidR="007B4818" w:rsidRDefault="00D73177">
      <w:pPr>
        <w:pStyle w:val="af1"/>
        <w:ind w:firstLineChars="187" w:firstLine="601"/>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生态保护红线面积：</w:t>
      </w:r>
      <w:r>
        <w:rPr>
          <w:rFonts w:ascii="仿宋_GB2312" w:eastAsia="仿宋_GB2312" w:hAnsi="仿宋_GB2312" w:cs="仿宋_GB2312" w:hint="eastAsia"/>
          <w:bCs/>
          <w:color w:val="000000" w:themeColor="text1"/>
          <w:sz w:val="32"/>
          <w:szCs w:val="32"/>
        </w:rPr>
        <w:t>在生态空间范围内具有特殊重要生态功能、必须强制性严格保护的陆域、水域、海域等</w:t>
      </w:r>
      <w:r>
        <w:rPr>
          <w:rFonts w:ascii="仿宋_GB2312" w:eastAsia="仿宋_GB2312" w:hAnsi="仿宋_GB2312" w:cs="仿宋_GB2312" w:hint="eastAsia"/>
          <w:color w:val="000000" w:themeColor="text1"/>
          <w:sz w:val="32"/>
          <w:szCs w:val="32"/>
        </w:rPr>
        <w:t>面积。</w:t>
      </w:r>
    </w:p>
    <w:p w:rsidR="007B4818" w:rsidRDefault="00D73177">
      <w:pPr>
        <w:pStyle w:val="af1"/>
        <w:ind w:firstLineChars="187" w:firstLine="601"/>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用水总量：</w:t>
      </w:r>
      <w:r>
        <w:rPr>
          <w:rFonts w:ascii="仿宋_GB2312" w:eastAsia="仿宋_GB2312" w:hAnsi="仿宋_GB2312" w:cs="仿宋_GB2312" w:hint="eastAsia"/>
          <w:color w:val="000000" w:themeColor="text1"/>
          <w:sz w:val="32"/>
          <w:szCs w:val="32"/>
        </w:rPr>
        <w:t>全年各类用水量的总和，包括生产用水、生活用水和生态用水等。</w:t>
      </w:r>
    </w:p>
    <w:p w:rsidR="007B4818" w:rsidRDefault="00D73177">
      <w:pPr>
        <w:pStyle w:val="af1"/>
        <w:ind w:firstLineChars="187" w:firstLine="601"/>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永久基本农田保护面积：</w:t>
      </w:r>
      <w:r>
        <w:rPr>
          <w:rFonts w:ascii="仿宋_GB2312" w:eastAsia="仿宋_GB2312" w:hAnsi="仿宋_GB2312" w:cs="仿宋_GB2312" w:hint="eastAsia"/>
          <w:bCs/>
          <w:color w:val="000000" w:themeColor="text1"/>
          <w:sz w:val="32"/>
          <w:szCs w:val="32"/>
        </w:rPr>
        <w:t>为保障国家粮食安全，按照一定时期人口和经济社会发展对农产品的需求，依法确定不得擅自占用或改变用途、实施特殊保护的耕地的面积</w:t>
      </w:r>
      <w:r>
        <w:rPr>
          <w:rFonts w:ascii="仿宋_GB2312" w:eastAsia="仿宋_GB2312" w:hAnsi="仿宋_GB2312" w:cs="仿宋_GB2312" w:hint="eastAsia"/>
          <w:color w:val="000000" w:themeColor="text1"/>
          <w:sz w:val="32"/>
          <w:szCs w:val="32"/>
        </w:rPr>
        <w:t>。</w:t>
      </w:r>
    </w:p>
    <w:p w:rsidR="007B4818" w:rsidRDefault="00D73177">
      <w:pPr>
        <w:pStyle w:val="af1"/>
        <w:ind w:firstLineChars="187" w:firstLine="601"/>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耕地保有量：</w:t>
      </w:r>
      <w:r>
        <w:rPr>
          <w:rFonts w:ascii="仿宋_GB2312" w:eastAsia="仿宋_GB2312" w:hAnsi="仿宋_GB2312" w:cs="仿宋_GB2312" w:hint="eastAsia"/>
          <w:bCs/>
          <w:color w:val="000000" w:themeColor="text1"/>
          <w:sz w:val="32"/>
          <w:szCs w:val="32"/>
        </w:rPr>
        <w:t>规划期内</w:t>
      </w:r>
      <w:r>
        <w:rPr>
          <w:rFonts w:ascii="仿宋_GB2312" w:eastAsia="仿宋_GB2312" w:hAnsi="仿宋_GB2312" w:cs="仿宋_GB2312" w:hint="eastAsia"/>
          <w:color w:val="000000" w:themeColor="text1"/>
          <w:sz w:val="32"/>
          <w:szCs w:val="32"/>
        </w:rPr>
        <w:t>必须保有的耕地面积。</w:t>
      </w:r>
    </w:p>
    <w:p w:rsidR="007B4818" w:rsidRDefault="00D73177">
      <w:pPr>
        <w:pStyle w:val="af1"/>
        <w:ind w:firstLineChars="187" w:firstLine="601"/>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建设用地总面积：</w:t>
      </w:r>
      <w:r>
        <w:rPr>
          <w:rFonts w:ascii="仿宋_GB2312" w:eastAsia="仿宋_GB2312" w:hAnsi="仿宋_GB2312" w:cs="仿宋_GB2312" w:hint="eastAsia"/>
          <w:bCs/>
          <w:color w:val="000000" w:themeColor="text1"/>
          <w:sz w:val="32"/>
          <w:szCs w:val="32"/>
        </w:rPr>
        <w:t>市域范围</w:t>
      </w:r>
      <w:r>
        <w:rPr>
          <w:rFonts w:ascii="仿宋_GB2312" w:eastAsia="仿宋_GB2312" w:hAnsi="仿宋_GB2312" w:cs="仿宋_GB2312" w:hint="eastAsia"/>
          <w:color w:val="000000" w:themeColor="text1"/>
          <w:sz w:val="32"/>
          <w:szCs w:val="32"/>
        </w:rPr>
        <w:t>内的建设用地的总面积。</w:t>
      </w:r>
    </w:p>
    <w:p w:rsidR="007B4818" w:rsidRDefault="00D73177">
      <w:pPr>
        <w:pStyle w:val="af1"/>
        <w:ind w:firstLineChars="187" w:firstLine="601"/>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城乡建设用地面积：</w:t>
      </w:r>
      <w:r>
        <w:rPr>
          <w:rFonts w:ascii="仿宋_GB2312" w:eastAsia="仿宋_GB2312" w:hAnsi="仿宋_GB2312" w:cs="仿宋_GB2312" w:hint="eastAsia"/>
          <w:color w:val="000000" w:themeColor="text1"/>
          <w:sz w:val="32"/>
          <w:szCs w:val="32"/>
        </w:rPr>
        <w:t>城市、建制镇、村庄范围内的建设用地的面积。</w:t>
      </w:r>
    </w:p>
    <w:p w:rsidR="007B4818" w:rsidRDefault="00D73177">
      <w:pPr>
        <w:pStyle w:val="af1"/>
        <w:ind w:firstLineChars="187" w:firstLine="601"/>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林地保有量：</w:t>
      </w:r>
      <w:r>
        <w:rPr>
          <w:rFonts w:ascii="仿宋_GB2312" w:eastAsia="仿宋_GB2312" w:hAnsi="仿宋_GB2312" w:cs="仿宋_GB2312" w:hint="eastAsia"/>
          <w:color w:val="000000" w:themeColor="text1"/>
          <w:sz w:val="32"/>
          <w:szCs w:val="32"/>
        </w:rPr>
        <w:t>规划期内必须保有的林地面积</w:t>
      </w:r>
    </w:p>
    <w:p w:rsidR="007B4818" w:rsidRDefault="00D73177">
      <w:pPr>
        <w:pStyle w:val="af1"/>
        <w:ind w:firstLineChars="187" w:firstLine="601"/>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基本草原面积：</w:t>
      </w:r>
      <w:r>
        <w:rPr>
          <w:rFonts w:ascii="仿宋_GB2312" w:eastAsia="仿宋_GB2312" w:hAnsi="仿宋_GB2312" w:cs="仿宋_GB2312" w:hint="eastAsia"/>
          <w:bCs/>
          <w:color w:val="000000" w:themeColor="text1"/>
          <w:sz w:val="32"/>
          <w:szCs w:val="32"/>
        </w:rPr>
        <w:t>依据</w:t>
      </w:r>
      <w:r>
        <w:rPr>
          <w:rFonts w:ascii="仿宋_GB2312" w:eastAsia="仿宋_GB2312" w:hAnsi="仿宋_GB2312" w:cs="仿宋_GB2312" w:hint="eastAsia"/>
          <w:color w:val="000000" w:themeColor="text1"/>
          <w:sz w:val="32"/>
          <w:szCs w:val="32"/>
        </w:rPr>
        <w:t>《中华人民共和国草原法（2013年修正）》第四十二条规定，划定的基本草原总面积。</w:t>
      </w:r>
    </w:p>
    <w:p w:rsidR="007B4818" w:rsidRDefault="00D73177">
      <w:pPr>
        <w:pStyle w:val="af1"/>
        <w:ind w:firstLineChars="187" w:firstLine="601"/>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湿地面积：</w:t>
      </w:r>
      <w:r>
        <w:rPr>
          <w:rFonts w:ascii="仿宋_GB2312" w:eastAsia="仿宋_GB2312" w:hAnsi="仿宋_GB2312" w:cs="仿宋_GB2312" w:hint="eastAsia"/>
          <w:color w:val="000000" w:themeColor="text1"/>
          <w:sz w:val="32"/>
          <w:szCs w:val="32"/>
        </w:rPr>
        <w:t>红树林地，天然的或人工的、永久的或间歇性的沼泽地、泥炭地，滩涂等。</w:t>
      </w:r>
    </w:p>
    <w:p w:rsidR="007B4818" w:rsidRDefault="00D73177">
      <w:pPr>
        <w:pStyle w:val="af1"/>
        <w:ind w:firstLineChars="187" w:firstLine="601"/>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大陆自然海岸线保有率：</w:t>
      </w:r>
      <w:r>
        <w:rPr>
          <w:rFonts w:ascii="仿宋_GB2312" w:eastAsia="仿宋_GB2312" w:hAnsi="仿宋_GB2312" w:cs="仿宋_GB2312" w:hint="eastAsia"/>
          <w:color w:val="000000" w:themeColor="text1"/>
          <w:sz w:val="32"/>
          <w:szCs w:val="32"/>
        </w:rPr>
        <w:t>大陆自然海岸线（砂质岸线、淤泥质岸线、基岩岸线、生物岸线等原生海岸线，及整治修复后具有自然海岸形态特征和生态功能的海岸线）长度占大陆海岸线总长度的比例。</w:t>
      </w:r>
    </w:p>
    <w:p w:rsidR="007B4818" w:rsidRDefault="00D73177">
      <w:pPr>
        <w:pStyle w:val="af1"/>
        <w:ind w:firstLineChars="187" w:firstLine="601"/>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自然和文化遗产：</w:t>
      </w:r>
      <w:r>
        <w:rPr>
          <w:rFonts w:ascii="仿宋_GB2312" w:eastAsia="仿宋_GB2312" w:hAnsi="仿宋_GB2312" w:cs="仿宋_GB2312" w:hint="eastAsia"/>
          <w:bCs/>
          <w:color w:val="000000" w:themeColor="text1"/>
          <w:sz w:val="32"/>
          <w:szCs w:val="32"/>
        </w:rPr>
        <w:t>由各级政府和部门依法认定公布的自然和文化遗产数量。一般包括：世界遗产、国家文化公园、风景名胜区、文化生态保护区、历史文化名城名镇名村街区、传统村落、文物保护单位和一般不可移动文物、历史建筑，以及其他经行政认定公布的遗产类型。</w:t>
      </w:r>
    </w:p>
    <w:p w:rsidR="007B4818" w:rsidRDefault="00D73177">
      <w:pPr>
        <w:pStyle w:val="af1"/>
        <w:ind w:firstLineChars="187" w:firstLine="601"/>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地下水水位：</w:t>
      </w:r>
      <w:r>
        <w:rPr>
          <w:rFonts w:ascii="仿宋_GB2312" w:eastAsia="仿宋_GB2312" w:hAnsi="仿宋_GB2312" w:cs="仿宋_GB2312" w:hint="eastAsia"/>
          <w:bCs/>
          <w:color w:val="000000" w:themeColor="text1"/>
          <w:sz w:val="32"/>
          <w:szCs w:val="32"/>
        </w:rPr>
        <w:t>含浅层和深层，依托国家地下水监测工程监测点测量的地下水面高程（以黄海高程为准）。</w:t>
      </w:r>
    </w:p>
    <w:p w:rsidR="007B4818" w:rsidRDefault="00D73177">
      <w:pPr>
        <w:pStyle w:val="af1"/>
        <w:ind w:firstLineChars="187" w:firstLine="601"/>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新能源和可再生能源比例：</w:t>
      </w:r>
      <w:r>
        <w:rPr>
          <w:rFonts w:ascii="仿宋_GB2312" w:eastAsia="仿宋_GB2312" w:hAnsi="仿宋_GB2312" w:cs="仿宋_GB2312" w:hint="eastAsia"/>
          <w:bCs/>
          <w:color w:val="000000" w:themeColor="text1"/>
          <w:sz w:val="32"/>
          <w:szCs w:val="32"/>
        </w:rPr>
        <w:t>在</w:t>
      </w:r>
      <w:r>
        <w:rPr>
          <w:rFonts w:ascii="仿宋_GB2312" w:eastAsia="仿宋_GB2312" w:hAnsi="仿宋_GB2312" w:cs="仿宋_GB2312" w:hint="eastAsia"/>
          <w:color w:val="000000" w:themeColor="text1"/>
          <w:sz w:val="32"/>
          <w:szCs w:val="32"/>
        </w:rPr>
        <w:t>消费的各种能源中，新能源和可再生能源折算标准量累计后占能源消费总量的比例。</w:t>
      </w:r>
    </w:p>
    <w:p w:rsidR="007B4818" w:rsidRDefault="00D73177">
      <w:pPr>
        <w:pStyle w:val="af1"/>
        <w:ind w:firstLineChars="187" w:firstLine="601"/>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本地指示性物种种类：</w:t>
      </w:r>
      <w:r>
        <w:rPr>
          <w:rFonts w:ascii="仿宋_GB2312" w:eastAsia="仿宋_GB2312" w:hAnsi="仿宋_GB2312" w:cs="仿宋_GB2312" w:hint="eastAsia"/>
          <w:bCs/>
          <w:color w:val="000000" w:themeColor="text1"/>
          <w:sz w:val="32"/>
          <w:szCs w:val="32"/>
        </w:rPr>
        <w:t>反映本地生态系统的保持情况的指示性物种的种类。</w:t>
      </w:r>
    </w:p>
    <w:p w:rsidR="007B4818" w:rsidRDefault="00D73177">
      <w:pPr>
        <w:pStyle w:val="af1"/>
        <w:ind w:firstLineChars="187" w:firstLine="601"/>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常住人口规模</w:t>
      </w:r>
      <w:r>
        <w:rPr>
          <w:rFonts w:ascii="仿宋_GB2312" w:eastAsia="仿宋_GB2312" w:hAnsi="仿宋_GB2312" w:cs="仿宋_GB2312" w:hint="eastAsia"/>
          <w:color w:val="000000" w:themeColor="text1"/>
          <w:sz w:val="32"/>
          <w:szCs w:val="32"/>
        </w:rPr>
        <w:t>：实际经常居住半年及以上的人口数量。</w:t>
      </w:r>
    </w:p>
    <w:p w:rsidR="007B4818" w:rsidRDefault="00D73177">
      <w:pPr>
        <w:pStyle w:val="af1"/>
        <w:ind w:firstLineChars="187" w:firstLine="601"/>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常住人口城镇化率：</w:t>
      </w:r>
      <w:r>
        <w:rPr>
          <w:rFonts w:ascii="仿宋_GB2312" w:eastAsia="仿宋_GB2312" w:hAnsi="仿宋_GB2312" w:cs="仿宋_GB2312" w:hint="eastAsia"/>
          <w:color w:val="000000" w:themeColor="text1"/>
          <w:sz w:val="32"/>
          <w:szCs w:val="32"/>
        </w:rPr>
        <w:t>城镇常住人口占常住人口的比例。</w:t>
      </w:r>
    </w:p>
    <w:p w:rsidR="007B4818" w:rsidRDefault="00D73177">
      <w:pPr>
        <w:pStyle w:val="af1"/>
        <w:ind w:firstLineChars="187" w:firstLine="601"/>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人均城镇建设用地面积：</w:t>
      </w:r>
      <w:r>
        <w:rPr>
          <w:rFonts w:ascii="仿宋_GB2312" w:eastAsia="仿宋_GB2312" w:hAnsi="仿宋_GB2312" w:cs="仿宋_GB2312" w:hint="eastAsia"/>
          <w:color w:val="000000" w:themeColor="text1"/>
          <w:sz w:val="32"/>
          <w:szCs w:val="32"/>
        </w:rPr>
        <w:t>城市、建制镇范围内的建设用地面积与城镇常住人口规模的比值。</w:t>
      </w:r>
    </w:p>
    <w:p w:rsidR="007B4818" w:rsidRDefault="00D73177">
      <w:pPr>
        <w:pStyle w:val="af1"/>
        <w:ind w:firstLineChars="187" w:firstLine="601"/>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人均应急避难场所面积：</w:t>
      </w:r>
      <w:r>
        <w:rPr>
          <w:rFonts w:ascii="仿宋_GB2312" w:eastAsia="仿宋_GB2312" w:hAnsi="仿宋_GB2312" w:cs="仿宋_GB2312" w:hint="eastAsia"/>
          <w:color w:val="000000" w:themeColor="text1"/>
          <w:sz w:val="32"/>
          <w:szCs w:val="32"/>
        </w:rPr>
        <w:t>应急避难场所面积与常住人口规模的比值。</w:t>
      </w:r>
    </w:p>
    <w:p w:rsidR="007B4818" w:rsidRDefault="00D73177">
      <w:pPr>
        <w:pStyle w:val="af1"/>
        <w:ind w:firstLineChars="187" w:firstLine="601"/>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道路网密度：</w:t>
      </w:r>
      <w:r>
        <w:rPr>
          <w:rFonts w:ascii="仿宋_GB2312" w:eastAsia="仿宋_GB2312" w:hAnsi="仿宋_GB2312" w:cs="仿宋_GB2312" w:hint="eastAsia"/>
          <w:color w:val="000000" w:themeColor="text1"/>
          <w:sz w:val="32"/>
          <w:szCs w:val="32"/>
        </w:rPr>
        <w:t>快速路及主干路、次干路、支路总里程数与中心城区面积的比值。</w:t>
      </w:r>
    </w:p>
    <w:p w:rsidR="007B4818" w:rsidRDefault="00D73177">
      <w:pPr>
        <w:pStyle w:val="af1"/>
        <w:ind w:firstLineChars="187" w:firstLine="601"/>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轨道交通站点800米半径服务覆盖率：</w:t>
      </w:r>
      <w:r>
        <w:rPr>
          <w:rFonts w:ascii="仿宋_GB2312" w:eastAsia="仿宋_GB2312" w:hAnsi="仿宋_GB2312" w:cs="仿宋_GB2312" w:hint="eastAsia"/>
          <w:color w:val="000000" w:themeColor="text1"/>
          <w:sz w:val="32"/>
          <w:szCs w:val="32"/>
        </w:rPr>
        <w:t>轨道交通站点800米半径范围内覆盖的人口与就业岗位占总人口与就业岗位的比例。</w:t>
      </w:r>
    </w:p>
    <w:p w:rsidR="007B4818" w:rsidRDefault="00D73177">
      <w:pPr>
        <w:pStyle w:val="af1"/>
        <w:ind w:firstLineChars="187" w:firstLine="601"/>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kern w:val="0"/>
          <w:sz w:val="32"/>
          <w:szCs w:val="32"/>
        </w:rPr>
        <w:t>都市圈1小时人口覆盖率</w:t>
      </w:r>
      <w:r>
        <w:rPr>
          <w:rFonts w:ascii="仿宋_GB2312" w:eastAsia="仿宋_GB2312" w:hAnsi="仿宋_GB2312" w:cs="仿宋_GB2312" w:hint="eastAsia"/>
          <w:b/>
          <w:bCs/>
          <w:color w:val="000000" w:themeColor="text1"/>
          <w:kern w:val="0"/>
          <w:sz w:val="32"/>
          <w:szCs w:val="32"/>
        </w:rPr>
        <w:t>：</w:t>
      </w:r>
      <w:r>
        <w:rPr>
          <w:rFonts w:ascii="仿宋_GB2312" w:eastAsia="仿宋_GB2312" w:hAnsi="仿宋_GB2312" w:cs="仿宋_GB2312" w:hint="eastAsia"/>
          <w:color w:val="000000" w:themeColor="text1"/>
          <w:kern w:val="0"/>
          <w:sz w:val="32"/>
          <w:szCs w:val="32"/>
        </w:rPr>
        <w:t>都市圈1小时通勤圈范围内覆盖的人口占总人口的比例。</w:t>
      </w:r>
    </w:p>
    <w:p w:rsidR="007B4818" w:rsidRDefault="00D73177">
      <w:pPr>
        <w:pStyle w:val="af1"/>
        <w:ind w:firstLineChars="187" w:firstLine="601"/>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每万元GDP水</w:t>
      </w:r>
      <w:r>
        <w:rPr>
          <w:rFonts w:ascii="仿宋_GB2312" w:eastAsia="仿宋_GB2312" w:hAnsi="仿宋_GB2312" w:cs="仿宋_GB2312"/>
          <w:b/>
          <w:color w:val="000000" w:themeColor="text1"/>
          <w:sz w:val="32"/>
          <w:szCs w:val="32"/>
        </w:rPr>
        <w:t>耗</w:t>
      </w:r>
      <w:r>
        <w:rPr>
          <w:rFonts w:ascii="仿宋_GB2312" w:eastAsia="仿宋_GB2312" w:hAnsi="仿宋_GB2312" w:cs="仿宋_GB2312" w:hint="eastAsia"/>
          <w:b/>
          <w:color w:val="000000" w:themeColor="text1"/>
          <w:sz w:val="32"/>
          <w:szCs w:val="32"/>
        </w:rPr>
        <w:t>：</w:t>
      </w:r>
      <w:r>
        <w:rPr>
          <w:rFonts w:ascii="仿宋_GB2312" w:eastAsia="仿宋_GB2312" w:hAnsi="仿宋_GB2312" w:cs="仿宋_GB2312" w:hint="eastAsia"/>
          <w:color w:val="000000" w:themeColor="text1"/>
          <w:sz w:val="32"/>
          <w:szCs w:val="32"/>
        </w:rPr>
        <w:t>每万元GDP产出消耗的水资源数量。</w:t>
      </w:r>
    </w:p>
    <w:p w:rsidR="007B4818" w:rsidRDefault="00D73177">
      <w:pPr>
        <w:pStyle w:val="af1"/>
        <w:ind w:firstLineChars="187" w:firstLine="601"/>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每万元GDP地耗：</w:t>
      </w:r>
      <w:r>
        <w:rPr>
          <w:rFonts w:ascii="仿宋_GB2312" w:eastAsia="仿宋_GB2312" w:hAnsi="仿宋_GB2312" w:cs="仿宋_GB2312" w:hint="eastAsia"/>
          <w:color w:val="000000" w:themeColor="text1"/>
          <w:sz w:val="32"/>
          <w:szCs w:val="32"/>
        </w:rPr>
        <w:t>每万元</w:t>
      </w:r>
      <w:r>
        <w:rPr>
          <w:rFonts w:ascii="仿宋_GB2312" w:eastAsia="仿宋_GB2312" w:hAnsi="仿宋_GB2312" w:cs="仿宋_GB2312"/>
          <w:color w:val="000000" w:themeColor="text1"/>
          <w:sz w:val="32"/>
          <w:szCs w:val="32"/>
        </w:rPr>
        <w:t>二三产业</w:t>
      </w:r>
      <w:r>
        <w:rPr>
          <w:rFonts w:ascii="仿宋_GB2312" w:eastAsia="仿宋_GB2312" w:hAnsi="仿宋_GB2312" w:cs="仿宋_GB2312" w:hint="eastAsia"/>
          <w:color w:val="000000" w:themeColor="text1"/>
          <w:sz w:val="32"/>
          <w:szCs w:val="32"/>
        </w:rPr>
        <w:t>产出增加值消耗的建设用地面积。</w:t>
      </w:r>
    </w:p>
    <w:p w:rsidR="007B4818" w:rsidRDefault="00D73177">
      <w:pPr>
        <w:pStyle w:val="af1"/>
        <w:ind w:firstLineChars="187" w:firstLine="601"/>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公园绿地、广场步行5分钟覆盖率：</w:t>
      </w:r>
      <w:r>
        <w:rPr>
          <w:rFonts w:ascii="仿宋_GB2312" w:eastAsia="仿宋_GB2312" w:hAnsi="仿宋_GB2312" w:cs="仿宋_GB2312" w:hint="eastAsia"/>
          <w:color w:val="000000" w:themeColor="text1"/>
          <w:sz w:val="32"/>
          <w:szCs w:val="32"/>
        </w:rPr>
        <w:t>400平方米以上公园绿地、广场用地周边5分钟步行范围覆盖的居住用地占所有居住用地的比例。</w:t>
      </w:r>
    </w:p>
    <w:p w:rsidR="007B4818" w:rsidRDefault="00D73177">
      <w:pPr>
        <w:pStyle w:val="af1"/>
        <w:ind w:firstLineChars="187" w:firstLine="601"/>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卫生、养老、教育、文化、体育等社区公共服务设施步行15分钟覆盖率：</w:t>
      </w:r>
      <w:r>
        <w:rPr>
          <w:rFonts w:ascii="仿宋_GB2312" w:eastAsia="仿宋_GB2312" w:hAnsi="仿宋_GB2312" w:cs="仿宋_GB2312" w:hint="eastAsia"/>
          <w:color w:val="000000" w:themeColor="text1"/>
          <w:sz w:val="32"/>
          <w:szCs w:val="32"/>
        </w:rPr>
        <w:t>卫生、养老、教育、文化、体育等各类社区公共服务设施周边15分钟步行范围覆盖的居住用地占所有居住用地的比例（分项计算）。</w:t>
      </w:r>
    </w:p>
    <w:p w:rsidR="007B4818" w:rsidRDefault="00D73177">
      <w:pPr>
        <w:pStyle w:val="af1"/>
        <w:ind w:firstLineChars="187" w:firstLine="601"/>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城镇人均住房面积</w:t>
      </w:r>
      <w:r>
        <w:rPr>
          <w:rFonts w:ascii="仿宋_GB2312" w:eastAsia="仿宋_GB2312" w:hAnsi="仿宋_GB2312" w:cs="仿宋_GB2312" w:hint="eastAsia"/>
          <w:b/>
          <w:bCs/>
          <w:color w:val="000000" w:themeColor="text1"/>
          <w:sz w:val="32"/>
          <w:szCs w:val="32"/>
        </w:rPr>
        <w:t>：</w:t>
      </w:r>
      <w:r>
        <w:rPr>
          <w:rFonts w:ascii="仿宋_GB2312" w:eastAsia="仿宋_GB2312" w:hAnsi="仿宋_GB2312" w:cs="仿宋_GB2312" w:hint="eastAsia"/>
          <w:color w:val="000000" w:themeColor="text1"/>
          <w:sz w:val="32"/>
          <w:szCs w:val="32"/>
        </w:rPr>
        <w:t>城镇住房建筑总面积与城镇常住人口规模的比值。</w:t>
      </w:r>
    </w:p>
    <w:p w:rsidR="007B4818" w:rsidRDefault="00D73177">
      <w:pPr>
        <w:pStyle w:val="af1"/>
        <w:ind w:firstLineChars="187" w:firstLine="601"/>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每千名老年人养老床位数：</w:t>
      </w:r>
      <w:r>
        <w:rPr>
          <w:rFonts w:ascii="仿宋_GB2312" w:eastAsia="仿宋_GB2312" w:hAnsi="仿宋_GB2312" w:cs="仿宋_GB2312" w:hint="eastAsia"/>
          <w:color w:val="000000" w:themeColor="text1"/>
          <w:sz w:val="32"/>
          <w:szCs w:val="32"/>
        </w:rPr>
        <w:t>每千名60岁及以上老年人拥有的养老机构床位数。</w:t>
      </w:r>
    </w:p>
    <w:p w:rsidR="007B4818" w:rsidRDefault="00D73177">
      <w:pPr>
        <w:pStyle w:val="af1"/>
        <w:ind w:firstLineChars="187" w:firstLine="601"/>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每千人口医疗卫生机构床位数：</w:t>
      </w:r>
      <w:r>
        <w:rPr>
          <w:rFonts w:ascii="仿宋_GB2312" w:eastAsia="仿宋_GB2312" w:hAnsi="仿宋_GB2312" w:cs="仿宋_GB2312" w:hint="eastAsia"/>
          <w:color w:val="000000" w:themeColor="text1"/>
          <w:sz w:val="32"/>
          <w:szCs w:val="32"/>
        </w:rPr>
        <w:t>每千名常住人口拥有的各类医疗卫生机构床位数。</w:t>
      </w:r>
    </w:p>
    <w:p w:rsidR="007B4818" w:rsidRDefault="00D73177">
      <w:pPr>
        <w:pStyle w:val="af1"/>
        <w:ind w:firstLineChars="187" w:firstLine="601"/>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人均体育用地面积：</w:t>
      </w:r>
      <w:r>
        <w:rPr>
          <w:rFonts w:ascii="仿宋_GB2312" w:eastAsia="仿宋_GB2312" w:hAnsi="仿宋_GB2312" w:cs="仿宋_GB2312" w:hint="eastAsia"/>
          <w:color w:val="000000" w:themeColor="text1"/>
          <w:sz w:val="32"/>
          <w:szCs w:val="32"/>
        </w:rPr>
        <w:t>体育用地总面积与常住人口规模的比值。</w:t>
      </w:r>
    </w:p>
    <w:p w:rsidR="007B4818" w:rsidRDefault="00D73177">
      <w:pPr>
        <w:pStyle w:val="af1"/>
        <w:ind w:firstLineChars="187" w:firstLine="601"/>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人均公园绿地面积：</w:t>
      </w:r>
      <w:r>
        <w:rPr>
          <w:rFonts w:ascii="仿宋_GB2312" w:eastAsia="仿宋_GB2312" w:hAnsi="仿宋_GB2312" w:cs="仿宋_GB2312" w:hint="eastAsia"/>
          <w:color w:val="000000" w:themeColor="text1"/>
          <w:sz w:val="32"/>
          <w:szCs w:val="32"/>
        </w:rPr>
        <w:t>公园绿地总面积与常住人口规模的比值。</w:t>
      </w:r>
    </w:p>
    <w:p w:rsidR="007B4818" w:rsidRDefault="00D73177">
      <w:pPr>
        <w:pStyle w:val="af1"/>
        <w:ind w:firstLineChars="187" w:firstLine="601"/>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绿色交通出行比例：</w:t>
      </w:r>
      <w:r>
        <w:rPr>
          <w:rFonts w:ascii="仿宋_GB2312" w:eastAsia="仿宋_GB2312" w:hAnsi="仿宋_GB2312" w:cs="仿宋_GB2312" w:hint="eastAsia"/>
          <w:color w:val="000000" w:themeColor="text1"/>
          <w:sz w:val="32"/>
          <w:szCs w:val="32"/>
        </w:rPr>
        <w:t>采用步行、非机动车、常规公交、轨道交通等绿色方式出行量占所有方式出行总量的比例。</w:t>
      </w:r>
    </w:p>
    <w:p w:rsidR="007B4818" w:rsidRDefault="00D73177">
      <w:pPr>
        <w:pStyle w:val="af1"/>
        <w:ind w:firstLineChars="187" w:firstLine="601"/>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工作日平均通勤时间：</w:t>
      </w:r>
      <w:r>
        <w:rPr>
          <w:rFonts w:ascii="仿宋_GB2312" w:eastAsia="仿宋_GB2312" w:hAnsi="仿宋_GB2312" w:cs="仿宋_GB2312" w:hint="eastAsia"/>
          <w:color w:val="000000" w:themeColor="text1"/>
          <w:sz w:val="32"/>
          <w:szCs w:val="32"/>
        </w:rPr>
        <w:t>工作日居民通勤出行时间的平均值。</w:t>
      </w:r>
    </w:p>
    <w:p w:rsidR="007B4818" w:rsidRDefault="00D73177">
      <w:pPr>
        <w:pStyle w:val="af1"/>
        <w:ind w:firstLineChars="187" w:firstLine="601"/>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降雨就地消纳率：</w:t>
      </w:r>
      <w:r>
        <w:rPr>
          <w:rFonts w:ascii="仿宋_GB2312" w:eastAsia="仿宋_GB2312" w:hAnsi="仿宋_GB2312" w:cs="仿宋_GB2312" w:hint="eastAsia"/>
          <w:color w:val="000000" w:themeColor="text1"/>
          <w:sz w:val="32"/>
          <w:szCs w:val="32"/>
        </w:rPr>
        <w:t>通过减少硬化面积，增加渗水、蓄水、</w:t>
      </w:r>
      <w:r>
        <w:rPr>
          <w:rFonts w:ascii="仿宋_GB2312" w:eastAsia="仿宋_GB2312" w:hAnsi="仿宋_GB2312" w:cs="仿宋_GB2312"/>
          <w:color w:val="000000" w:themeColor="text1"/>
          <w:sz w:val="32"/>
          <w:szCs w:val="32"/>
        </w:rPr>
        <w:t>滞</w:t>
      </w:r>
      <w:r>
        <w:rPr>
          <w:rFonts w:ascii="仿宋_GB2312" w:eastAsia="仿宋_GB2312" w:hAnsi="仿宋_GB2312" w:cs="仿宋_GB2312" w:hint="eastAsia"/>
          <w:color w:val="000000" w:themeColor="text1"/>
          <w:sz w:val="32"/>
          <w:szCs w:val="32"/>
        </w:rPr>
        <w:t>水空间，使多年平均降雨量的70%实现下渗、储存、净化、回用的城市建成区占总建成区的比例，是反映海绵城市建设水平的指标。</w:t>
      </w:r>
    </w:p>
    <w:p w:rsidR="007B4818" w:rsidRDefault="00D73177">
      <w:pPr>
        <w:pStyle w:val="af1"/>
        <w:ind w:firstLineChars="187" w:firstLine="601"/>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城镇生活垃圾回收利用率：</w:t>
      </w:r>
      <w:r>
        <w:rPr>
          <w:rFonts w:ascii="仿宋_GB2312" w:eastAsia="仿宋_GB2312" w:hAnsi="仿宋_GB2312" w:cs="仿宋_GB2312" w:hint="eastAsia"/>
          <w:bCs/>
          <w:color w:val="000000" w:themeColor="text1"/>
          <w:sz w:val="32"/>
          <w:szCs w:val="32"/>
        </w:rPr>
        <w:t>城镇</w:t>
      </w:r>
      <w:r>
        <w:rPr>
          <w:rFonts w:ascii="仿宋_GB2312" w:eastAsia="仿宋_GB2312" w:hAnsi="仿宋_GB2312" w:cs="仿宋_GB2312" w:hint="eastAsia"/>
          <w:color w:val="000000" w:themeColor="text1"/>
          <w:sz w:val="32"/>
          <w:szCs w:val="32"/>
        </w:rPr>
        <w:t>经生物、物理、化学转化后作为二次原料的生活垃圾处理量占生活垃圾产生总量的比例。</w:t>
      </w:r>
    </w:p>
    <w:p w:rsidR="007B4818" w:rsidRDefault="00D73177">
      <w:pPr>
        <w:pStyle w:val="af1"/>
        <w:ind w:firstLineChars="187" w:firstLine="601"/>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农村生活垃圾处理率：</w:t>
      </w:r>
      <w:r>
        <w:rPr>
          <w:rFonts w:ascii="仿宋_GB2312" w:eastAsia="仿宋_GB2312" w:hAnsi="仿宋_GB2312" w:cs="仿宋_GB2312"/>
          <w:color w:val="000000" w:themeColor="text1"/>
          <w:sz w:val="32"/>
          <w:szCs w:val="32"/>
        </w:rPr>
        <w:t>农村经</w:t>
      </w:r>
      <w:r>
        <w:rPr>
          <w:rFonts w:ascii="仿宋_GB2312" w:eastAsia="仿宋_GB2312" w:hAnsi="仿宋_GB2312" w:cs="仿宋_GB2312" w:hint="eastAsia"/>
          <w:color w:val="000000" w:themeColor="text1"/>
          <w:sz w:val="32"/>
          <w:szCs w:val="32"/>
        </w:rPr>
        <w:t>收集、处理的生活垃圾量占生活垃圾产生总量的比例。</w:t>
      </w:r>
    </w:p>
    <w:p w:rsidR="007B4818" w:rsidRDefault="00D73177">
      <w:pPr>
        <w:widowControl/>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br w:type="page"/>
      </w:r>
    </w:p>
    <w:p w:rsidR="007B4818" w:rsidRDefault="00D73177">
      <w:pPr>
        <w:pStyle w:val="1"/>
        <w:numPr>
          <w:ilvl w:val="0"/>
          <w:numId w:val="0"/>
        </w:numPr>
        <w:spacing w:line="240" w:lineRule="auto"/>
        <w:ind w:left="425" w:hanging="425"/>
        <w:jc w:val="both"/>
        <w:rPr>
          <w:color w:val="000000" w:themeColor="text1"/>
          <w:szCs w:val="32"/>
        </w:rPr>
      </w:pPr>
      <w:bookmarkStart w:id="249" w:name="_Toc15878"/>
      <w:bookmarkStart w:id="250" w:name="_Toc44611606"/>
      <w:bookmarkStart w:id="251" w:name="_Toc10046"/>
      <w:bookmarkStart w:id="252" w:name="_Toc8626"/>
      <w:bookmarkStart w:id="253" w:name="_Toc28370"/>
      <w:bookmarkStart w:id="254" w:name="_Toc27097"/>
      <w:r>
        <w:rPr>
          <w:rFonts w:hint="eastAsia"/>
          <w:color w:val="000000" w:themeColor="text1"/>
          <w:szCs w:val="32"/>
        </w:rPr>
        <w:t>附录</w:t>
      </w:r>
      <w:r>
        <w:rPr>
          <w:color w:val="000000" w:themeColor="text1"/>
          <w:szCs w:val="32"/>
        </w:rPr>
        <w:t xml:space="preserve">F  </w:t>
      </w:r>
      <w:r>
        <w:rPr>
          <w:rFonts w:hint="eastAsia"/>
          <w:color w:val="000000" w:themeColor="text1"/>
          <w:szCs w:val="32"/>
        </w:rPr>
        <w:t>强制性内容</w:t>
      </w:r>
      <w:bookmarkEnd w:id="249"/>
      <w:bookmarkEnd w:id="250"/>
      <w:bookmarkEnd w:id="251"/>
      <w:bookmarkEnd w:id="252"/>
      <w:bookmarkEnd w:id="253"/>
      <w:bookmarkEnd w:id="254"/>
    </w:p>
    <w:p w:rsidR="007B4818" w:rsidRDefault="00D73177">
      <w:pPr>
        <w:pStyle w:val="af2"/>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市级总规中涉及的安全底线、空间结构等方面内容，应作为规划强制性内容，并在图纸上有准确标明或在文本上有明确、规范的表述，同时提出相应的管理措施。</w:t>
      </w:r>
    </w:p>
    <w:p w:rsidR="007B4818" w:rsidRDefault="00D73177">
      <w:pPr>
        <w:pStyle w:val="af2"/>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市级总规中强制性内容应包括：</w:t>
      </w:r>
    </w:p>
    <w:p w:rsidR="007B4818" w:rsidRDefault="00D73177">
      <w:pPr>
        <w:pStyle w:val="af2"/>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（1）约束性指标落实及分解情况，如生态保护红线面积、用水总量、永久基本农田保护面积等；</w:t>
      </w:r>
    </w:p>
    <w:p w:rsidR="007B4818" w:rsidRDefault="00D73177">
      <w:pPr>
        <w:pStyle w:val="af2"/>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（2）生态屏障、生态廊道和生态系统保护格局，自然保护地体系；</w:t>
      </w:r>
    </w:p>
    <w:p w:rsidR="007B4818" w:rsidRDefault="00D73177">
      <w:pPr>
        <w:pStyle w:val="af2"/>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（3）生态保护红线、永久基本农田和城镇开发边界三条控制线；</w:t>
      </w:r>
    </w:p>
    <w:p w:rsidR="007B4818" w:rsidRDefault="00D73177">
      <w:pPr>
        <w:pStyle w:val="af2"/>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（4）涵盖各类历史文化遗存的历史文化保护体系，历史文化保护线及空间管控要求；</w:t>
      </w:r>
    </w:p>
    <w:p w:rsidR="007B4818" w:rsidRDefault="00D73177">
      <w:pPr>
        <w:pStyle w:val="af2"/>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（5）中心城区范围内结构性绿地、水体等开敞空间的控制范围和均衡分布要求；</w:t>
      </w:r>
    </w:p>
    <w:p w:rsidR="007B4818" w:rsidRDefault="00D73177">
      <w:pPr>
        <w:pStyle w:val="af2"/>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（6）城乡公共服务设施配置标准，城镇政策性住房和教育、卫生、养老、文化体育等城乡公共服务设施布局原则和标准；</w:t>
      </w:r>
    </w:p>
    <w:p w:rsidR="007B4818" w:rsidRDefault="00D73177">
      <w:pPr>
        <w:pStyle w:val="af2"/>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（7）重大交通枢纽、重要线性工程网络、城市安全与综合防灾体系、地下空间、邻避设施等设施布局。</w:t>
      </w:r>
    </w:p>
    <w:p w:rsidR="007B4818" w:rsidRDefault="007B4818">
      <w:pPr>
        <w:pStyle w:val="af2"/>
        <w:ind w:firstLine="640"/>
        <w:rPr>
          <w:rFonts w:ascii="仿宋_GB2312" w:eastAsia="仿宋_GB2312"/>
          <w:color w:val="000000" w:themeColor="text1"/>
          <w:sz w:val="32"/>
          <w:szCs w:val="32"/>
        </w:rPr>
      </w:pPr>
    </w:p>
    <w:p w:rsidR="007B4818" w:rsidRDefault="007B4818">
      <w:pPr>
        <w:widowControl/>
        <w:jc w:val="left"/>
        <w:rPr>
          <w:color w:val="000000" w:themeColor="text1"/>
        </w:rPr>
      </w:pPr>
    </w:p>
    <w:p w:rsidR="007B4818" w:rsidRDefault="00D73177">
      <w:pPr>
        <w:widowControl/>
        <w:jc w:val="left"/>
        <w:rPr>
          <w:color w:val="000000" w:themeColor="text1"/>
        </w:rPr>
      </w:pPr>
      <w:r>
        <w:rPr>
          <w:color w:val="000000" w:themeColor="text1"/>
        </w:rPr>
        <w:br w:type="page"/>
      </w:r>
    </w:p>
    <w:p w:rsidR="007B4818" w:rsidRDefault="007B4818">
      <w:pPr>
        <w:rPr>
          <w:color w:val="000000" w:themeColor="text1"/>
        </w:rPr>
      </w:pPr>
    </w:p>
    <w:p w:rsidR="007B4818" w:rsidRDefault="00D73177">
      <w:pPr>
        <w:pStyle w:val="1"/>
        <w:numPr>
          <w:ilvl w:val="0"/>
          <w:numId w:val="0"/>
        </w:numPr>
        <w:spacing w:line="240" w:lineRule="auto"/>
        <w:ind w:left="425" w:hanging="425"/>
        <w:jc w:val="both"/>
        <w:rPr>
          <w:color w:val="000000" w:themeColor="text1"/>
          <w:szCs w:val="32"/>
        </w:rPr>
      </w:pPr>
      <w:bookmarkStart w:id="255" w:name="_Toc2849"/>
      <w:bookmarkStart w:id="256" w:name="_Toc1998"/>
      <w:bookmarkStart w:id="257" w:name="_Toc22351"/>
      <w:bookmarkStart w:id="258" w:name="_Toc44611607"/>
      <w:bookmarkStart w:id="259" w:name="_Toc32670"/>
      <w:bookmarkStart w:id="260" w:name="_Toc28504"/>
      <w:r>
        <w:rPr>
          <w:rFonts w:hint="eastAsia"/>
          <w:color w:val="000000" w:themeColor="text1"/>
          <w:szCs w:val="32"/>
        </w:rPr>
        <w:t>附录</w:t>
      </w:r>
      <w:r>
        <w:rPr>
          <w:rFonts w:hint="eastAsia"/>
          <w:color w:val="000000" w:themeColor="text1"/>
          <w:szCs w:val="32"/>
        </w:rPr>
        <w:t>G</w:t>
      </w:r>
      <w:r>
        <w:rPr>
          <w:rFonts w:hint="eastAsia"/>
          <w:color w:val="000000" w:themeColor="text1"/>
          <w:szCs w:val="32"/>
        </w:rPr>
        <w:t>城镇开发边界划定要求</w:t>
      </w:r>
      <w:bookmarkEnd w:id="255"/>
      <w:bookmarkEnd w:id="256"/>
      <w:bookmarkEnd w:id="257"/>
      <w:bookmarkEnd w:id="258"/>
      <w:bookmarkEnd w:id="259"/>
      <w:bookmarkEnd w:id="260"/>
    </w:p>
    <w:p w:rsidR="007B4818" w:rsidRDefault="00D73177">
      <w:pPr>
        <w:pStyle w:val="13"/>
        <w:jc w:val="both"/>
        <w:rPr>
          <w:rFonts w:ascii="黑体" w:eastAsia="黑体" w:hAnsi="黑体"/>
          <w:color w:val="000000" w:themeColor="text1"/>
          <w:sz w:val="32"/>
          <w:szCs w:val="32"/>
        </w:rPr>
      </w:pPr>
      <w:bookmarkStart w:id="261" w:name="_Toc22738892"/>
      <w:r>
        <w:rPr>
          <w:rFonts w:ascii="黑体" w:eastAsia="黑体" w:hAnsi="黑体"/>
          <w:color w:val="000000" w:themeColor="text1"/>
          <w:sz w:val="32"/>
          <w:szCs w:val="32"/>
        </w:rPr>
        <w:t>G</w:t>
      </w:r>
      <w:r>
        <w:rPr>
          <w:rFonts w:ascii="黑体" w:eastAsia="黑体" w:hAnsi="黑体" w:hint="eastAsia"/>
          <w:color w:val="000000" w:themeColor="text1"/>
          <w:sz w:val="32"/>
          <w:szCs w:val="32"/>
        </w:rPr>
        <w:t>.1 基本概念</w:t>
      </w:r>
      <w:bookmarkEnd w:id="261"/>
      <w:r>
        <w:rPr>
          <w:rFonts w:ascii="黑体" w:eastAsia="黑体" w:hAnsi="黑体" w:hint="eastAsia"/>
          <w:color w:val="000000" w:themeColor="text1"/>
          <w:sz w:val="32"/>
          <w:szCs w:val="32"/>
        </w:rPr>
        <w:t>及</w:t>
      </w:r>
      <w:r>
        <w:rPr>
          <w:rFonts w:ascii="黑体" w:eastAsia="黑体" w:hAnsi="黑体"/>
          <w:color w:val="000000" w:themeColor="text1"/>
          <w:sz w:val="32"/>
          <w:szCs w:val="32"/>
        </w:rPr>
        <w:t>说明</w:t>
      </w:r>
    </w:p>
    <w:p w:rsidR="007B4818" w:rsidRDefault="00D73177">
      <w:pPr>
        <w:pStyle w:val="13"/>
        <w:ind w:firstLineChars="200" w:firstLine="643"/>
        <w:jc w:val="both"/>
        <w:rPr>
          <w:rFonts w:ascii="仿宋_GB2312" w:hAnsi="仿宋_GB2312" w:cs="仿宋_GB2312"/>
          <w:b/>
          <w:color w:val="000000" w:themeColor="text1"/>
          <w:sz w:val="32"/>
          <w:szCs w:val="32"/>
        </w:rPr>
      </w:pPr>
      <w:r>
        <w:rPr>
          <w:rFonts w:ascii="仿宋_GB2312" w:hAnsi="仿宋_GB2312" w:cs="仿宋_GB2312" w:hint="eastAsia"/>
          <w:b/>
          <w:color w:val="000000" w:themeColor="text1"/>
          <w:sz w:val="32"/>
          <w:szCs w:val="32"/>
        </w:rPr>
        <w:t>G.1.1城镇开发边界</w:t>
      </w:r>
    </w:p>
    <w:p w:rsidR="007B4818" w:rsidRDefault="00D73177">
      <w:pPr>
        <w:pStyle w:val="13"/>
        <w:jc w:val="both"/>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城镇开发边界是在国土空间规划中划定的，一定时期内因城镇发展需要，可以集中进行城镇开发建设，完善城镇功能、提升空间品质的区域边界，涉及城市、建制镇以及各类开发区等。城镇开发边界内可分为城镇集中建设区、城镇弹性发展区和特别用途区（空间关系详见图1）。城市、建制镇应划定城镇开发边界。</w:t>
      </w:r>
    </w:p>
    <w:p w:rsidR="007B4818" w:rsidRDefault="00D73177">
      <w:pPr>
        <w:pStyle w:val="13"/>
        <w:ind w:firstLineChars="200" w:firstLine="643"/>
        <w:jc w:val="both"/>
        <w:rPr>
          <w:rFonts w:ascii="仿宋_GB2312" w:hAnsi="仿宋_GB2312" w:cs="仿宋_GB2312"/>
          <w:b/>
          <w:color w:val="000000" w:themeColor="text1"/>
          <w:sz w:val="32"/>
          <w:szCs w:val="32"/>
        </w:rPr>
      </w:pPr>
      <w:r>
        <w:rPr>
          <w:rFonts w:ascii="仿宋_GB2312" w:hAnsi="仿宋_GB2312" w:cs="仿宋_GB2312" w:hint="eastAsia"/>
          <w:b/>
          <w:color w:val="000000" w:themeColor="text1"/>
          <w:sz w:val="32"/>
          <w:szCs w:val="32"/>
        </w:rPr>
        <w:t>G.1.2城镇集中建设区</w:t>
      </w:r>
    </w:p>
    <w:p w:rsidR="007B4818" w:rsidRDefault="00D73177">
      <w:pPr>
        <w:pStyle w:val="13"/>
        <w:jc w:val="both"/>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根据规划城镇建设用地规模，为满足城镇居民生产生活需要，划定的一定时期内允许开展城镇开发和集中建设的地域空间。</w:t>
      </w:r>
    </w:p>
    <w:p w:rsidR="007B4818" w:rsidRDefault="00D73177">
      <w:pPr>
        <w:pStyle w:val="13"/>
        <w:ind w:firstLineChars="200" w:firstLine="643"/>
        <w:jc w:val="both"/>
        <w:rPr>
          <w:rFonts w:ascii="仿宋_GB2312" w:hAnsi="仿宋_GB2312" w:cs="仿宋_GB2312"/>
          <w:b/>
          <w:color w:val="000000" w:themeColor="text1"/>
          <w:sz w:val="32"/>
          <w:szCs w:val="32"/>
        </w:rPr>
      </w:pPr>
      <w:r>
        <w:rPr>
          <w:rFonts w:ascii="仿宋_GB2312" w:hAnsi="仿宋_GB2312" w:cs="仿宋_GB2312" w:hint="eastAsia"/>
          <w:b/>
          <w:color w:val="000000" w:themeColor="text1"/>
          <w:sz w:val="32"/>
          <w:szCs w:val="32"/>
        </w:rPr>
        <w:t>G.1.3城镇弹性发展区</w:t>
      </w:r>
      <w:bookmarkStart w:id="262" w:name="_Hlk530583340"/>
    </w:p>
    <w:p w:rsidR="007B4818" w:rsidRDefault="00D73177">
      <w:pPr>
        <w:pStyle w:val="13"/>
        <w:jc w:val="both"/>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为应对城镇发展的不确定性，在城镇集中建设区外划定的，在满足特定条件下方可进行城镇开发和集中建设的地域空间。</w:t>
      </w:r>
      <w:bookmarkEnd w:id="262"/>
    </w:p>
    <w:p w:rsidR="007B4818" w:rsidRDefault="00D73177">
      <w:pPr>
        <w:pStyle w:val="13"/>
        <w:jc w:val="both"/>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在不突破规划城镇建设用地规模的前提下，城镇建设用地布局可在城镇弹性发展范围内进行调整，同时相应核减城镇集中建设区用地规模。</w:t>
      </w:r>
    </w:p>
    <w:p w:rsidR="007B4818" w:rsidRDefault="00D73177">
      <w:pPr>
        <w:pStyle w:val="13"/>
        <w:ind w:firstLineChars="200" w:firstLine="643"/>
        <w:jc w:val="both"/>
        <w:rPr>
          <w:rFonts w:ascii="仿宋_GB2312" w:hAnsi="仿宋_GB2312" w:cs="仿宋_GB2312"/>
          <w:b/>
          <w:color w:val="000000" w:themeColor="text1"/>
          <w:sz w:val="32"/>
          <w:szCs w:val="32"/>
        </w:rPr>
      </w:pPr>
      <w:r>
        <w:rPr>
          <w:rFonts w:ascii="仿宋_GB2312" w:hAnsi="仿宋_GB2312" w:cs="仿宋_GB2312" w:hint="eastAsia"/>
          <w:b/>
          <w:color w:val="000000" w:themeColor="text1"/>
          <w:sz w:val="32"/>
          <w:szCs w:val="32"/>
        </w:rPr>
        <w:t>G.1.4特别用途区</w:t>
      </w:r>
    </w:p>
    <w:p w:rsidR="007B4818" w:rsidRDefault="00D73177">
      <w:pPr>
        <w:pStyle w:val="13"/>
        <w:jc w:val="both"/>
        <w:rPr>
          <w:rFonts w:ascii="仿宋_GB2312"/>
          <w:color w:val="000000" w:themeColor="text1"/>
          <w:sz w:val="32"/>
          <w:szCs w:val="32"/>
        </w:rPr>
      </w:pPr>
      <w:r>
        <w:rPr>
          <w:rFonts w:ascii="仿宋_GB2312" w:hint="eastAsia"/>
          <w:color w:val="000000" w:themeColor="text1"/>
          <w:sz w:val="32"/>
          <w:szCs w:val="32"/>
        </w:rPr>
        <w:t>为完善城镇功能，提升人居</w:t>
      </w:r>
      <w:r>
        <w:rPr>
          <w:rFonts w:ascii="仿宋_GB2312"/>
          <w:color w:val="000000" w:themeColor="text1"/>
          <w:sz w:val="32"/>
          <w:szCs w:val="32"/>
        </w:rPr>
        <w:t>环境品质</w:t>
      </w:r>
      <w:r>
        <w:rPr>
          <w:rFonts w:ascii="仿宋_GB2312" w:hint="eastAsia"/>
          <w:color w:val="000000" w:themeColor="text1"/>
          <w:sz w:val="32"/>
          <w:szCs w:val="32"/>
        </w:rPr>
        <w:t>，保持城镇开发边界的完整性，根据</w:t>
      </w:r>
      <w:r>
        <w:rPr>
          <w:rFonts w:ascii="仿宋_GB2312"/>
          <w:color w:val="000000" w:themeColor="text1"/>
          <w:sz w:val="32"/>
          <w:szCs w:val="32"/>
        </w:rPr>
        <w:t>规划管理</w:t>
      </w:r>
      <w:r>
        <w:rPr>
          <w:rFonts w:ascii="仿宋_GB2312" w:hint="eastAsia"/>
          <w:color w:val="000000" w:themeColor="text1"/>
          <w:sz w:val="32"/>
          <w:szCs w:val="32"/>
        </w:rPr>
        <w:t>需划入</w:t>
      </w:r>
      <w:r>
        <w:rPr>
          <w:rFonts w:ascii="仿宋_GB2312"/>
          <w:color w:val="000000" w:themeColor="text1"/>
          <w:sz w:val="32"/>
          <w:szCs w:val="32"/>
        </w:rPr>
        <w:t>开发边界</w:t>
      </w:r>
      <w:r>
        <w:rPr>
          <w:rFonts w:ascii="仿宋_GB2312" w:hint="eastAsia"/>
          <w:color w:val="000000" w:themeColor="text1"/>
          <w:sz w:val="32"/>
          <w:szCs w:val="32"/>
        </w:rPr>
        <w:t>内</w:t>
      </w:r>
      <w:r>
        <w:rPr>
          <w:rFonts w:ascii="仿宋_GB2312"/>
          <w:color w:val="000000" w:themeColor="text1"/>
          <w:sz w:val="32"/>
          <w:szCs w:val="32"/>
        </w:rPr>
        <w:t>的</w:t>
      </w:r>
      <w:r>
        <w:rPr>
          <w:rFonts w:ascii="仿宋_GB2312" w:hint="eastAsia"/>
          <w:color w:val="000000" w:themeColor="text1"/>
          <w:sz w:val="32"/>
          <w:szCs w:val="32"/>
        </w:rPr>
        <w:t>重点</w:t>
      </w:r>
      <w:r>
        <w:rPr>
          <w:rFonts w:ascii="仿宋_GB2312"/>
          <w:color w:val="000000" w:themeColor="text1"/>
          <w:sz w:val="32"/>
          <w:szCs w:val="32"/>
        </w:rPr>
        <w:t>地区</w:t>
      </w:r>
      <w:r>
        <w:rPr>
          <w:rFonts w:ascii="仿宋_GB2312" w:hint="eastAsia"/>
          <w:color w:val="000000" w:themeColor="text1"/>
          <w:sz w:val="32"/>
          <w:szCs w:val="32"/>
        </w:rPr>
        <w:t>，主要包括</w:t>
      </w:r>
      <w:r>
        <w:rPr>
          <w:rFonts w:ascii="仿宋_GB2312"/>
          <w:color w:val="000000" w:themeColor="text1"/>
          <w:sz w:val="32"/>
          <w:szCs w:val="32"/>
        </w:rPr>
        <w:t>与</w:t>
      </w:r>
      <w:r>
        <w:rPr>
          <w:rFonts w:ascii="仿宋_GB2312" w:hint="eastAsia"/>
          <w:color w:val="000000" w:themeColor="text1"/>
          <w:sz w:val="32"/>
          <w:szCs w:val="32"/>
        </w:rPr>
        <w:t>城镇关联密切的生态涵养、休闲游憩、防护隔离、自然和历史文化保护等地域空间。</w:t>
      </w:r>
    </w:p>
    <w:p w:rsidR="007B4818" w:rsidRDefault="00D73177">
      <w:pPr>
        <w:pStyle w:val="13"/>
        <w:jc w:val="both"/>
        <w:rPr>
          <w:rFonts w:ascii="仿宋_GB2312"/>
          <w:color w:val="000000" w:themeColor="text1"/>
          <w:sz w:val="32"/>
          <w:szCs w:val="32"/>
        </w:rPr>
      </w:pPr>
      <w:r>
        <w:rPr>
          <w:rFonts w:ascii="仿宋_GB2312" w:hint="eastAsia"/>
          <w:color w:val="000000" w:themeColor="text1"/>
          <w:sz w:val="32"/>
          <w:szCs w:val="32"/>
        </w:rPr>
        <w:t>特别用途区原则上禁止任何城镇集中建设行为，实施建设用地总量控制，原则</w:t>
      </w:r>
      <w:r>
        <w:rPr>
          <w:rFonts w:ascii="仿宋_GB2312"/>
          <w:color w:val="000000" w:themeColor="text1"/>
          <w:sz w:val="32"/>
          <w:szCs w:val="32"/>
        </w:rPr>
        <w:t>上</w:t>
      </w:r>
      <w:r>
        <w:rPr>
          <w:rFonts w:ascii="仿宋_GB2312" w:hint="eastAsia"/>
          <w:color w:val="000000" w:themeColor="text1"/>
          <w:sz w:val="32"/>
          <w:szCs w:val="32"/>
        </w:rPr>
        <w:t>不得新增除市政基础设施、交通基础设施、生态修复工程、必要的配套及游憩设施外的其他城镇建设用地。</w:t>
      </w:r>
    </w:p>
    <w:p w:rsidR="007B4818" w:rsidRDefault="00D73177">
      <w:pPr>
        <w:pStyle w:val="13"/>
        <w:jc w:val="both"/>
        <w:rPr>
          <w:rFonts w:ascii="仿宋_GB2312"/>
          <w:color w:val="000000" w:themeColor="text1"/>
          <w:sz w:val="32"/>
          <w:szCs w:val="32"/>
        </w:rPr>
      </w:pPr>
      <w:r>
        <w:rPr>
          <w:rFonts w:ascii="仿宋_GB2312"/>
          <w:noProof/>
          <w:color w:val="000000" w:themeColor="text1"/>
          <w:sz w:val="32"/>
          <w:szCs w:val="32"/>
        </w:rPr>
        <w:drawing>
          <wp:inline distT="0" distB="0" distL="0" distR="0">
            <wp:extent cx="4935855" cy="283400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935855" cy="2834005"/>
                    </a:xfrm>
                    <a:prstGeom prst="rect">
                      <a:avLst/>
                    </a:prstGeom>
                    <a:noFill/>
                  </pic:spPr>
                </pic:pic>
              </a:graphicData>
            </a:graphic>
          </wp:inline>
        </w:drawing>
      </w:r>
    </w:p>
    <w:p w:rsidR="007B4818" w:rsidRDefault="00D73177">
      <w:pPr>
        <w:pStyle w:val="13"/>
        <w:ind w:firstLine="0"/>
        <w:jc w:val="center"/>
        <w:rPr>
          <w:rFonts w:ascii="仿宋_GB2312"/>
          <w:color w:val="000000" w:themeColor="text1"/>
          <w:sz w:val="32"/>
          <w:szCs w:val="32"/>
        </w:rPr>
      </w:pPr>
      <w:r>
        <w:rPr>
          <w:rFonts w:ascii="仿宋_GB2312" w:hAnsi="仿宋_GB2312" w:cs="仿宋_GB2312" w:hint="eastAsia"/>
          <w:b/>
          <w:bCs/>
          <w:color w:val="000000" w:themeColor="text1"/>
          <w:sz w:val="28"/>
          <w:szCs w:val="28"/>
        </w:rPr>
        <w:t>图1  空间关系示意图</w:t>
      </w:r>
    </w:p>
    <w:p w:rsidR="007B4818" w:rsidRDefault="00D73177">
      <w:pPr>
        <w:pStyle w:val="13"/>
        <w:jc w:val="both"/>
        <w:rPr>
          <w:rFonts w:ascii="黑体" w:eastAsia="黑体" w:hAnsi="黑体"/>
          <w:color w:val="000000" w:themeColor="text1"/>
          <w:sz w:val="32"/>
          <w:szCs w:val="32"/>
        </w:rPr>
      </w:pPr>
      <w:bookmarkStart w:id="263" w:name="_Toc529340743"/>
      <w:bookmarkStart w:id="264" w:name="_Toc22738893"/>
      <w:r>
        <w:rPr>
          <w:rFonts w:ascii="黑体" w:eastAsia="黑体" w:hAnsi="黑体"/>
          <w:color w:val="000000" w:themeColor="text1"/>
          <w:sz w:val="32"/>
          <w:szCs w:val="32"/>
        </w:rPr>
        <w:t>G</w:t>
      </w:r>
      <w:r>
        <w:rPr>
          <w:rFonts w:ascii="黑体" w:eastAsia="黑体" w:hAnsi="黑体" w:hint="eastAsia"/>
          <w:color w:val="000000" w:themeColor="text1"/>
          <w:sz w:val="32"/>
          <w:szCs w:val="32"/>
        </w:rPr>
        <w:t>.2</w:t>
      </w:r>
      <w:bookmarkEnd w:id="263"/>
      <w:bookmarkEnd w:id="264"/>
      <w:r>
        <w:rPr>
          <w:rFonts w:ascii="黑体" w:eastAsia="黑体" w:hAnsi="黑体" w:hint="eastAsia"/>
          <w:color w:val="000000" w:themeColor="text1"/>
          <w:sz w:val="32"/>
          <w:szCs w:val="32"/>
        </w:rPr>
        <w:t>总体</w:t>
      </w:r>
      <w:r>
        <w:rPr>
          <w:rFonts w:ascii="黑体" w:eastAsia="黑体" w:hAnsi="黑体"/>
          <w:color w:val="000000" w:themeColor="text1"/>
          <w:sz w:val="32"/>
          <w:szCs w:val="32"/>
        </w:rPr>
        <w:t>要求</w:t>
      </w:r>
    </w:p>
    <w:p w:rsidR="007B4818" w:rsidRDefault="00D73177">
      <w:pPr>
        <w:pStyle w:val="13"/>
        <w:jc w:val="both"/>
        <w:rPr>
          <w:rFonts w:ascii="仿宋_GB2312" w:hAnsi="仿宋_GB2312" w:cs="仿宋_GB2312"/>
          <w:b/>
          <w:color w:val="000000" w:themeColor="text1"/>
          <w:sz w:val="32"/>
          <w:szCs w:val="32"/>
        </w:rPr>
      </w:pPr>
      <w:bookmarkStart w:id="265" w:name="_Toc530667600"/>
      <w:bookmarkStart w:id="266" w:name="_Toc22738894"/>
      <w:bookmarkStart w:id="267" w:name="_Toc529340739"/>
      <w:bookmarkStart w:id="268" w:name="_Toc22738899"/>
      <w:r>
        <w:rPr>
          <w:rFonts w:ascii="仿宋_GB2312" w:hAnsi="仿宋_GB2312" w:cs="仿宋_GB2312" w:hint="eastAsia"/>
          <w:b/>
          <w:color w:val="000000" w:themeColor="text1"/>
          <w:sz w:val="32"/>
          <w:szCs w:val="32"/>
        </w:rPr>
        <w:t xml:space="preserve">G.2.1 </w:t>
      </w:r>
      <w:bookmarkEnd w:id="265"/>
      <w:r>
        <w:rPr>
          <w:rFonts w:ascii="仿宋_GB2312" w:hAnsi="仿宋_GB2312" w:cs="仿宋_GB2312" w:hint="eastAsia"/>
          <w:b/>
          <w:color w:val="000000" w:themeColor="text1"/>
          <w:sz w:val="32"/>
          <w:szCs w:val="32"/>
        </w:rPr>
        <w:t>划定原则</w:t>
      </w:r>
    </w:p>
    <w:p w:rsidR="007B4818" w:rsidRDefault="00D73177">
      <w:pPr>
        <w:pStyle w:val="13"/>
        <w:jc w:val="both"/>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一是坚持节约优先、保护优先</w:t>
      </w:r>
      <w:bookmarkEnd w:id="266"/>
      <w:r>
        <w:rPr>
          <w:rFonts w:ascii="仿宋_GB2312" w:hAnsi="仿宋_GB2312" w:cs="仿宋_GB2312" w:hint="eastAsia"/>
          <w:color w:val="000000" w:themeColor="text1"/>
          <w:sz w:val="32"/>
          <w:szCs w:val="32"/>
        </w:rPr>
        <w:t>、安全优先，以“双评价”为基础，优先划定森林、河流、湖泊、山川等不能进行开发建设的范围，统筹划定“三条控制线”；二是城镇开发边界形态尽可能完整，充分利用现状各类边界；三是为未来发展留有空间，强化城镇开发边界对开发建设行为的刚性约束作用，同时也要考虑城镇未来发展的不确定性，适当增加布局弹性</w:t>
      </w:r>
      <w:bookmarkStart w:id="269" w:name="_Toc22738898"/>
      <w:r>
        <w:rPr>
          <w:rFonts w:ascii="仿宋_GB2312" w:hAnsi="仿宋_GB2312" w:cs="仿宋_GB2312" w:hint="eastAsia"/>
          <w:color w:val="000000" w:themeColor="text1"/>
          <w:sz w:val="32"/>
          <w:szCs w:val="32"/>
        </w:rPr>
        <w:t>；四是因地制宜，结合当地城镇化发展水平和阶段特征，兼顾近期和长远发展</w:t>
      </w:r>
      <w:bookmarkEnd w:id="269"/>
      <w:r>
        <w:rPr>
          <w:rFonts w:ascii="仿宋_GB2312" w:hAnsi="仿宋_GB2312" w:cs="仿宋_GB2312" w:hint="eastAsia"/>
          <w:color w:val="000000" w:themeColor="text1"/>
          <w:sz w:val="32"/>
          <w:szCs w:val="32"/>
        </w:rPr>
        <w:t>。</w:t>
      </w:r>
    </w:p>
    <w:p w:rsidR="007B4818" w:rsidRDefault="00D73177">
      <w:pPr>
        <w:pStyle w:val="13"/>
        <w:jc w:val="both"/>
        <w:rPr>
          <w:rFonts w:ascii="仿宋_GB2312" w:hAnsi="仿宋_GB2312" w:cs="仿宋_GB2312"/>
          <w:b/>
          <w:color w:val="000000" w:themeColor="text1"/>
          <w:sz w:val="32"/>
          <w:szCs w:val="32"/>
        </w:rPr>
      </w:pPr>
      <w:r>
        <w:rPr>
          <w:rFonts w:ascii="仿宋_GB2312" w:hAnsi="仿宋_GB2312" w:cs="仿宋_GB2312" w:hint="eastAsia"/>
          <w:b/>
          <w:color w:val="000000" w:themeColor="text1"/>
          <w:sz w:val="32"/>
          <w:szCs w:val="32"/>
        </w:rPr>
        <w:t>G.2.2 划定层次</w:t>
      </w:r>
    </w:p>
    <w:p w:rsidR="007B4818" w:rsidRDefault="00D73177">
      <w:pPr>
        <w:pStyle w:val="13"/>
        <w:jc w:val="both"/>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市级总规应依照上位国土空间规划确定的城镇定位、规模指标等控制性要求，结合地方发展实际，划定市辖区城镇开发边界；统筹提出县人民政府所在地镇（街道）、各类开发区的城镇开发边界指导方案。县级总规应依据市级总规的指导方案，划定县域范围内的城镇开发边界，包括县人民政府所在地镇（街道）、其他建制镇、各类开发区等。</w:t>
      </w:r>
    </w:p>
    <w:p w:rsidR="007B4818" w:rsidRDefault="00D73177">
      <w:pPr>
        <w:pStyle w:val="13"/>
        <w:jc w:val="both"/>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按照“自上而下、上下联动”的组织方式，同步推进城镇开发边界划定工作，整合形成城镇开发边界“一张图”。</w:t>
      </w:r>
    </w:p>
    <w:p w:rsidR="007B4818" w:rsidRDefault="00D73177">
      <w:pPr>
        <w:pStyle w:val="13"/>
        <w:jc w:val="both"/>
        <w:rPr>
          <w:rFonts w:ascii="仿宋_GB2312" w:hAnsi="仿宋_GB2312" w:cs="仿宋_GB2312"/>
          <w:b/>
          <w:color w:val="000000" w:themeColor="text1"/>
          <w:sz w:val="32"/>
          <w:szCs w:val="32"/>
        </w:rPr>
      </w:pPr>
      <w:r>
        <w:rPr>
          <w:rFonts w:ascii="仿宋_GB2312" w:hAnsi="仿宋_GB2312" w:cs="仿宋_GB2312" w:hint="eastAsia"/>
          <w:b/>
          <w:color w:val="000000" w:themeColor="text1"/>
          <w:sz w:val="32"/>
          <w:szCs w:val="32"/>
        </w:rPr>
        <w:t>G.2.3 规划期限</w:t>
      </w:r>
    </w:p>
    <w:p w:rsidR="007B4818" w:rsidRDefault="00D73177">
      <w:pPr>
        <w:pStyle w:val="13"/>
        <w:jc w:val="both"/>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城镇开发边界期限与国土空间总体规划相一致。特大、超大城市以及资源环境超载的城镇，要划定永久性开发边界。</w:t>
      </w:r>
    </w:p>
    <w:p w:rsidR="007B4818" w:rsidRDefault="00D73177">
      <w:pPr>
        <w:pStyle w:val="13"/>
        <w:jc w:val="both"/>
        <w:rPr>
          <w:rFonts w:ascii="仿宋_GB2312" w:hAnsi="仿宋_GB2312" w:cs="仿宋_GB2312"/>
          <w:b/>
          <w:color w:val="000000" w:themeColor="text1"/>
          <w:sz w:val="32"/>
          <w:szCs w:val="32"/>
        </w:rPr>
      </w:pPr>
      <w:bookmarkStart w:id="270" w:name="_Toc529891792"/>
      <w:bookmarkStart w:id="271" w:name="_Toc529340757"/>
      <w:bookmarkStart w:id="272" w:name="_Toc22738912"/>
      <w:bookmarkStart w:id="273" w:name="_Toc528932146"/>
      <w:bookmarkStart w:id="274" w:name="_Toc528946613"/>
      <w:r>
        <w:rPr>
          <w:rFonts w:ascii="仿宋_GB2312" w:hAnsi="仿宋_GB2312" w:cs="仿宋_GB2312" w:hint="eastAsia"/>
          <w:b/>
          <w:color w:val="000000" w:themeColor="text1"/>
          <w:sz w:val="32"/>
          <w:szCs w:val="32"/>
        </w:rPr>
        <w:t>G.2.4 调整</w:t>
      </w:r>
      <w:bookmarkEnd w:id="270"/>
      <w:bookmarkEnd w:id="271"/>
      <w:bookmarkEnd w:id="272"/>
      <w:r>
        <w:rPr>
          <w:rFonts w:ascii="仿宋_GB2312" w:hAnsi="仿宋_GB2312" w:cs="仿宋_GB2312" w:hint="eastAsia"/>
          <w:b/>
          <w:color w:val="000000" w:themeColor="text1"/>
          <w:sz w:val="32"/>
          <w:szCs w:val="32"/>
        </w:rPr>
        <w:t>和勘误</w:t>
      </w:r>
    </w:p>
    <w:p w:rsidR="007B4818" w:rsidRDefault="00D73177">
      <w:pPr>
        <w:pStyle w:val="13"/>
        <w:jc w:val="both"/>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城镇开发边界以及城镇开发边界内的特别用途区原则上不得调整。因国家重大战略调整、国家重大项目建设、行政区划调整等确需调整的，按国土空间规划修改程序进行。规划实施中因地形差异、用地勘界、产权范围界定、比例尺衔接等情况需要局部勘误的，由市级自然资源主管部门认定后，不视为边界调整。</w:t>
      </w:r>
    </w:p>
    <w:p w:rsidR="007B4818" w:rsidRDefault="00D73177">
      <w:pPr>
        <w:pStyle w:val="13"/>
        <w:jc w:val="both"/>
        <w:rPr>
          <w:rFonts w:ascii="黑体" w:eastAsia="黑体" w:hAnsi="黑体"/>
          <w:color w:val="000000" w:themeColor="text1"/>
          <w:sz w:val="32"/>
          <w:szCs w:val="32"/>
        </w:rPr>
      </w:pPr>
      <w:bookmarkStart w:id="275" w:name="_Toc529340748"/>
      <w:bookmarkStart w:id="276" w:name="_Toc22738903"/>
      <w:bookmarkEnd w:id="267"/>
      <w:bookmarkEnd w:id="268"/>
      <w:bookmarkEnd w:id="273"/>
      <w:bookmarkEnd w:id="274"/>
      <w:r>
        <w:rPr>
          <w:rFonts w:ascii="黑体" w:eastAsia="黑体" w:hAnsi="黑体" w:hint="eastAsia"/>
          <w:color w:val="000000" w:themeColor="text1"/>
          <w:sz w:val="32"/>
          <w:szCs w:val="32"/>
        </w:rPr>
        <w:t>G.3 划定</w:t>
      </w:r>
      <w:bookmarkEnd w:id="275"/>
      <w:r>
        <w:rPr>
          <w:rFonts w:ascii="黑体" w:eastAsia="黑体" w:hAnsi="黑体" w:hint="eastAsia"/>
          <w:color w:val="000000" w:themeColor="text1"/>
          <w:sz w:val="32"/>
          <w:szCs w:val="32"/>
        </w:rPr>
        <w:t>技术流程</w:t>
      </w:r>
      <w:bookmarkEnd w:id="276"/>
    </w:p>
    <w:p w:rsidR="007B4818" w:rsidRDefault="00D73177">
      <w:pPr>
        <w:pStyle w:val="13"/>
        <w:jc w:val="both"/>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城镇开发边界划定一般包括基础数据收集、开展评价研究、边界</w:t>
      </w:r>
      <w:r>
        <w:rPr>
          <w:rFonts w:ascii="仿宋_GB2312" w:hAnsi="仿宋_GB2312" w:cs="仿宋_GB2312"/>
          <w:color w:val="000000" w:themeColor="text1"/>
          <w:sz w:val="32"/>
          <w:szCs w:val="32"/>
        </w:rPr>
        <w:t>初</w:t>
      </w:r>
      <w:r>
        <w:rPr>
          <w:rFonts w:ascii="仿宋_GB2312" w:hAnsi="仿宋_GB2312" w:cs="仿宋_GB2312" w:hint="eastAsia"/>
          <w:color w:val="000000" w:themeColor="text1"/>
          <w:sz w:val="32"/>
          <w:szCs w:val="32"/>
        </w:rPr>
        <w:t>划、方案协调、边界划定入库等5个环节。其中，基础数据收集、开展评价研究与市级总规基础工作一并开展。</w:t>
      </w:r>
    </w:p>
    <w:p w:rsidR="007B4818" w:rsidRDefault="00D73177">
      <w:pPr>
        <w:pStyle w:val="13"/>
        <w:jc w:val="both"/>
        <w:rPr>
          <w:rFonts w:ascii="仿宋_GB2312" w:hAnsi="仿宋_GB2312" w:cs="仿宋_GB2312"/>
          <w:b/>
          <w:color w:val="000000" w:themeColor="text1"/>
          <w:sz w:val="32"/>
          <w:szCs w:val="32"/>
        </w:rPr>
      </w:pPr>
      <w:bookmarkStart w:id="277" w:name="_Toc529340749"/>
      <w:bookmarkStart w:id="278" w:name="_Toc22738904"/>
      <w:r>
        <w:rPr>
          <w:rFonts w:ascii="仿宋_GB2312" w:hAnsi="仿宋_GB2312" w:cs="仿宋_GB2312" w:hint="eastAsia"/>
          <w:b/>
          <w:color w:val="000000" w:themeColor="text1"/>
          <w:sz w:val="32"/>
          <w:szCs w:val="32"/>
        </w:rPr>
        <w:t>G.</w:t>
      </w:r>
      <w:bookmarkStart w:id="279" w:name="_Toc529891788"/>
      <w:bookmarkStart w:id="280" w:name="_Toc22738906"/>
      <w:bookmarkEnd w:id="277"/>
      <w:bookmarkEnd w:id="278"/>
      <w:r>
        <w:rPr>
          <w:rFonts w:ascii="仿宋_GB2312" w:hAnsi="仿宋_GB2312" w:cs="仿宋_GB2312" w:hint="eastAsia"/>
          <w:b/>
          <w:color w:val="000000" w:themeColor="text1"/>
          <w:sz w:val="32"/>
          <w:szCs w:val="32"/>
        </w:rPr>
        <w:t>3.1 边界</w:t>
      </w:r>
      <w:r>
        <w:rPr>
          <w:rFonts w:ascii="仿宋_GB2312" w:hAnsi="仿宋_GB2312" w:cs="仿宋_GB2312"/>
          <w:b/>
          <w:color w:val="000000" w:themeColor="text1"/>
          <w:sz w:val="32"/>
          <w:szCs w:val="32"/>
        </w:rPr>
        <w:t>初划</w:t>
      </w:r>
      <w:bookmarkEnd w:id="279"/>
      <w:bookmarkEnd w:id="280"/>
    </w:p>
    <w:p w:rsidR="007B4818" w:rsidRDefault="00D73177">
      <w:pPr>
        <w:pStyle w:val="13"/>
        <w:jc w:val="both"/>
        <w:rPr>
          <w:rFonts w:ascii="仿宋_GB2312" w:hAnsi="仿宋_GB2312" w:cs="仿宋_GB2312"/>
          <w:color w:val="000000" w:themeColor="text1"/>
          <w:sz w:val="32"/>
          <w:szCs w:val="32"/>
        </w:rPr>
      </w:pPr>
      <w:r>
        <w:rPr>
          <w:rFonts w:ascii="仿宋_GB2312" w:hAnsi="仿宋_GB2312" w:cs="仿宋_GB2312" w:hint="eastAsia"/>
          <w:b/>
          <w:color w:val="000000" w:themeColor="text1"/>
          <w:sz w:val="32"/>
          <w:szCs w:val="32"/>
        </w:rPr>
        <w:t>G.3.1.1城镇集中建设区。</w:t>
      </w:r>
      <w:r>
        <w:rPr>
          <w:rFonts w:ascii="仿宋_GB2312" w:hAnsi="仿宋_GB2312" w:cs="仿宋_GB2312" w:hint="eastAsia"/>
          <w:color w:val="000000" w:themeColor="text1"/>
          <w:sz w:val="32"/>
          <w:szCs w:val="32"/>
        </w:rPr>
        <w:t>结合城镇发展定位和空间格局，依据国土空间规划中确定的规划城镇建设用地规模，将规划集中连片、规模较大、形态规整的地域确定为城镇集中建设区。现状建成区，规划集中连片的城镇建设区和城中村、城边村，依法合规设立的各类开发区，国家、省、市确定的重大建设项目用地等应划入城镇集中建设区。城镇建设和发展应避让地质灾害风险区、蓄泄洪区等不适宜建设区域，不得违法违规侵占河道、湖面、滩地。</w:t>
      </w:r>
    </w:p>
    <w:p w:rsidR="007B4818" w:rsidRDefault="00D73177">
      <w:pPr>
        <w:pStyle w:val="13"/>
        <w:jc w:val="both"/>
        <w:rPr>
          <w:rFonts w:ascii="仿宋_GB2312" w:hAnsi="仿宋_GB2312" w:cs="仿宋_GB2312"/>
          <w:color w:val="000000" w:themeColor="text1"/>
          <w:sz w:val="32"/>
          <w:szCs w:val="32"/>
        </w:rPr>
      </w:pPr>
      <w:r>
        <w:rPr>
          <w:rFonts w:ascii="仿宋_GB2312" w:hAnsi="仿宋_GB2312" w:cs="仿宋_GB2312" w:hint="eastAsia"/>
          <w:color w:val="000000" w:themeColor="text1"/>
          <w:sz w:val="32"/>
          <w:szCs w:val="32"/>
        </w:rPr>
        <w:t>市级总规在市辖区划定的城镇开发边界内，划入城镇集中建设区的规划城镇建设用地一般不少于市辖区规划城镇建设用地总规模的80%。县级总规按照市级总规提出的区县指引要求划定</w:t>
      </w:r>
      <w:r>
        <w:rPr>
          <w:rFonts w:ascii="仿宋_GB2312" w:hAnsi="仿宋_GB2312" w:cs="仿宋_GB2312"/>
          <w:color w:val="000000" w:themeColor="text1"/>
          <w:sz w:val="32"/>
          <w:szCs w:val="32"/>
        </w:rPr>
        <w:t>县</w:t>
      </w:r>
      <w:r>
        <w:rPr>
          <w:rFonts w:ascii="仿宋_GB2312" w:hAnsi="仿宋_GB2312" w:cs="仿宋_GB2312" w:hint="eastAsia"/>
          <w:color w:val="000000" w:themeColor="text1"/>
          <w:sz w:val="32"/>
          <w:szCs w:val="32"/>
        </w:rPr>
        <w:t>（区）域的全部城镇开发边界后，以县（区）为统计单元，划入城镇集中建设区的规划城镇建设用地一般应不少于</w:t>
      </w:r>
      <w:r>
        <w:rPr>
          <w:rFonts w:ascii="仿宋_GB2312" w:hAnsi="仿宋_GB2312" w:cs="仿宋_GB2312"/>
          <w:color w:val="000000" w:themeColor="text1"/>
          <w:sz w:val="32"/>
          <w:szCs w:val="32"/>
        </w:rPr>
        <w:t>县</w:t>
      </w:r>
      <w:r>
        <w:rPr>
          <w:rFonts w:ascii="仿宋_GB2312" w:hAnsi="仿宋_GB2312" w:cs="仿宋_GB2312" w:hint="eastAsia"/>
          <w:color w:val="000000" w:themeColor="text1"/>
          <w:sz w:val="32"/>
          <w:szCs w:val="32"/>
        </w:rPr>
        <w:t>（区）域规划城镇建设用地总规模的90%。</w:t>
      </w:r>
    </w:p>
    <w:p w:rsidR="007B4818" w:rsidRDefault="00D73177">
      <w:pPr>
        <w:pStyle w:val="13"/>
        <w:jc w:val="both"/>
        <w:rPr>
          <w:rFonts w:ascii="仿宋_GB2312"/>
          <w:color w:val="000000" w:themeColor="text1"/>
          <w:sz w:val="32"/>
          <w:szCs w:val="32"/>
        </w:rPr>
      </w:pPr>
      <w:r>
        <w:rPr>
          <w:rFonts w:ascii="仿宋_GB2312"/>
          <w:b/>
          <w:color w:val="000000" w:themeColor="text1"/>
          <w:sz w:val="32"/>
          <w:szCs w:val="32"/>
        </w:rPr>
        <w:t>G</w:t>
      </w:r>
      <w:r>
        <w:rPr>
          <w:rFonts w:ascii="仿宋_GB2312" w:hint="eastAsia"/>
          <w:b/>
          <w:color w:val="000000" w:themeColor="text1"/>
          <w:sz w:val="32"/>
          <w:szCs w:val="32"/>
        </w:rPr>
        <w:t>.</w:t>
      </w:r>
      <w:r>
        <w:rPr>
          <w:rFonts w:ascii="仿宋_GB2312"/>
          <w:b/>
          <w:color w:val="000000" w:themeColor="text1"/>
          <w:sz w:val="32"/>
          <w:szCs w:val="32"/>
        </w:rPr>
        <w:t>3</w:t>
      </w:r>
      <w:r>
        <w:rPr>
          <w:rFonts w:ascii="仿宋_GB2312" w:hint="eastAsia"/>
          <w:b/>
          <w:color w:val="000000" w:themeColor="text1"/>
          <w:sz w:val="32"/>
          <w:szCs w:val="32"/>
        </w:rPr>
        <w:t>.</w:t>
      </w:r>
      <w:r>
        <w:rPr>
          <w:rFonts w:ascii="仿宋_GB2312"/>
          <w:b/>
          <w:color w:val="000000" w:themeColor="text1"/>
          <w:sz w:val="32"/>
          <w:szCs w:val="32"/>
        </w:rPr>
        <w:t>1</w:t>
      </w:r>
      <w:r>
        <w:rPr>
          <w:rFonts w:ascii="仿宋_GB2312" w:hint="eastAsia"/>
          <w:b/>
          <w:color w:val="000000" w:themeColor="text1"/>
          <w:sz w:val="32"/>
          <w:szCs w:val="32"/>
        </w:rPr>
        <w:t>.2城镇弹性发展区。</w:t>
      </w:r>
      <w:r>
        <w:rPr>
          <w:rFonts w:ascii="仿宋_GB2312" w:hint="eastAsia"/>
          <w:color w:val="000000" w:themeColor="text1"/>
          <w:sz w:val="32"/>
          <w:szCs w:val="32"/>
        </w:rPr>
        <w:t>在与城镇集中建设区充分衔接、关联的基础上，合理划定城镇弹性发展区，做到规模适度、设施支撑可行。城镇弹性发展区面积原则上不超过城镇集中建设区面积的15%，其中现状城区常住人口300万以上城市的城镇弹性发展区面积原则上不超过城镇集中建设区面积的10%，现状城区常住人口500万以上城市、收缩城镇及人均城镇</w:t>
      </w:r>
      <w:r>
        <w:rPr>
          <w:rFonts w:ascii="仿宋_GB2312"/>
          <w:color w:val="000000" w:themeColor="text1"/>
          <w:sz w:val="32"/>
          <w:szCs w:val="32"/>
        </w:rPr>
        <w:t>建设</w:t>
      </w:r>
      <w:r>
        <w:rPr>
          <w:rFonts w:ascii="仿宋_GB2312" w:hint="eastAsia"/>
          <w:color w:val="000000" w:themeColor="text1"/>
          <w:sz w:val="32"/>
          <w:szCs w:val="32"/>
        </w:rPr>
        <w:t>用地显著超标的城镇，应进一步收紧弹性发展区所占比例，原则上不超过城镇集中建设区面积的5%。</w:t>
      </w:r>
    </w:p>
    <w:p w:rsidR="007B4818" w:rsidRDefault="00D73177">
      <w:pPr>
        <w:pStyle w:val="13"/>
        <w:jc w:val="both"/>
        <w:rPr>
          <w:rFonts w:ascii="仿宋_GB2312"/>
          <w:color w:val="000000" w:themeColor="text1"/>
          <w:sz w:val="32"/>
          <w:szCs w:val="32"/>
        </w:rPr>
      </w:pPr>
      <w:r>
        <w:rPr>
          <w:rFonts w:ascii="仿宋_GB2312"/>
          <w:b/>
          <w:color w:val="000000" w:themeColor="text1"/>
          <w:sz w:val="32"/>
          <w:szCs w:val="32"/>
        </w:rPr>
        <w:t>G</w:t>
      </w:r>
      <w:r>
        <w:rPr>
          <w:rFonts w:ascii="仿宋_GB2312" w:hint="eastAsia"/>
          <w:b/>
          <w:color w:val="000000" w:themeColor="text1"/>
          <w:sz w:val="32"/>
          <w:szCs w:val="32"/>
        </w:rPr>
        <w:t>.</w:t>
      </w:r>
      <w:r>
        <w:rPr>
          <w:rFonts w:ascii="仿宋_GB2312"/>
          <w:b/>
          <w:color w:val="000000" w:themeColor="text1"/>
          <w:sz w:val="32"/>
          <w:szCs w:val="32"/>
        </w:rPr>
        <w:t>3</w:t>
      </w:r>
      <w:r>
        <w:rPr>
          <w:rFonts w:ascii="仿宋_GB2312" w:hint="eastAsia"/>
          <w:b/>
          <w:color w:val="000000" w:themeColor="text1"/>
          <w:sz w:val="32"/>
          <w:szCs w:val="32"/>
        </w:rPr>
        <w:t>.</w:t>
      </w:r>
      <w:r>
        <w:rPr>
          <w:rFonts w:ascii="仿宋_GB2312"/>
          <w:b/>
          <w:color w:val="000000" w:themeColor="text1"/>
          <w:sz w:val="32"/>
          <w:szCs w:val="32"/>
        </w:rPr>
        <w:t>1</w:t>
      </w:r>
      <w:r>
        <w:rPr>
          <w:rFonts w:ascii="仿宋_GB2312" w:hint="eastAsia"/>
          <w:b/>
          <w:color w:val="000000" w:themeColor="text1"/>
          <w:sz w:val="32"/>
          <w:szCs w:val="32"/>
        </w:rPr>
        <w:t>.3特别用途区。</w:t>
      </w:r>
      <w:r>
        <w:rPr>
          <w:rFonts w:ascii="仿宋_GB2312" w:hint="eastAsia"/>
          <w:color w:val="000000" w:themeColor="text1"/>
          <w:sz w:val="32"/>
          <w:szCs w:val="32"/>
        </w:rPr>
        <w:t>根据地方实际，特别用途区应包括对城镇功能和空间格局有重要影响、与城镇空间联系密切的山体、河湖水系、生态湿地、风景游憩、防护隔离、农业景观、古迹遗址等地域空间。同时，对于影响城市长远发展，在规划期内不进行规划建设、也不改变现状的空间，可以以林地、草地或湿地等形态，一并划入特别用途区予以严格管控。特别用途区应做好与城镇集中建设区的蓝绿空间衔接，形成完整的城镇生态网络体系。对于开发边界围合面积超过城镇集中建设区面积1.5倍的，对其合理性及必要性应当予以特殊说明。</w:t>
      </w:r>
    </w:p>
    <w:p w:rsidR="007B4818" w:rsidRDefault="00D73177">
      <w:pPr>
        <w:pStyle w:val="13"/>
        <w:jc w:val="both"/>
        <w:rPr>
          <w:rFonts w:ascii="仿宋_GB2312"/>
          <w:b/>
          <w:color w:val="000000" w:themeColor="text1"/>
          <w:sz w:val="32"/>
          <w:szCs w:val="32"/>
        </w:rPr>
      </w:pPr>
      <w:bookmarkStart w:id="281" w:name="_Toc529340752"/>
      <w:bookmarkStart w:id="282" w:name="_Toc22738907"/>
      <w:r>
        <w:rPr>
          <w:rFonts w:ascii="仿宋_GB2312"/>
          <w:b/>
          <w:color w:val="000000" w:themeColor="text1"/>
          <w:sz w:val="32"/>
          <w:szCs w:val="32"/>
        </w:rPr>
        <w:t>G</w:t>
      </w:r>
      <w:r>
        <w:rPr>
          <w:rFonts w:ascii="仿宋_GB2312" w:hint="eastAsia"/>
          <w:b/>
          <w:color w:val="000000" w:themeColor="text1"/>
          <w:sz w:val="32"/>
          <w:szCs w:val="32"/>
        </w:rPr>
        <w:t>.</w:t>
      </w:r>
      <w:r>
        <w:rPr>
          <w:rFonts w:ascii="仿宋_GB2312"/>
          <w:b/>
          <w:color w:val="000000" w:themeColor="text1"/>
          <w:sz w:val="32"/>
          <w:szCs w:val="32"/>
        </w:rPr>
        <w:t>3</w:t>
      </w:r>
      <w:r>
        <w:rPr>
          <w:rFonts w:ascii="仿宋_GB2312" w:hint="eastAsia"/>
          <w:b/>
          <w:color w:val="000000" w:themeColor="text1"/>
          <w:sz w:val="32"/>
          <w:szCs w:val="32"/>
        </w:rPr>
        <w:t>.</w:t>
      </w:r>
      <w:r>
        <w:rPr>
          <w:rFonts w:ascii="仿宋_GB2312"/>
          <w:b/>
          <w:color w:val="000000" w:themeColor="text1"/>
          <w:sz w:val="32"/>
          <w:szCs w:val="32"/>
        </w:rPr>
        <w:t>2</w:t>
      </w:r>
      <w:r>
        <w:rPr>
          <w:rFonts w:ascii="仿宋_GB2312" w:hint="eastAsia"/>
          <w:b/>
          <w:color w:val="000000" w:themeColor="text1"/>
          <w:sz w:val="32"/>
          <w:szCs w:val="32"/>
        </w:rPr>
        <w:t xml:space="preserve"> 方案协调</w:t>
      </w:r>
      <w:bookmarkEnd w:id="281"/>
      <w:bookmarkEnd w:id="282"/>
    </w:p>
    <w:p w:rsidR="007B4818" w:rsidRDefault="00D73177">
      <w:pPr>
        <w:pStyle w:val="13"/>
        <w:jc w:val="both"/>
        <w:rPr>
          <w:rFonts w:ascii="仿宋_GB2312"/>
          <w:color w:val="000000" w:themeColor="text1"/>
          <w:sz w:val="32"/>
          <w:szCs w:val="32"/>
        </w:rPr>
      </w:pPr>
      <w:r>
        <w:rPr>
          <w:rFonts w:ascii="仿宋_GB2312" w:hint="eastAsia"/>
          <w:color w:val="000000" w:themeColor="text1"/>
          <w:sz w:val="32"/>
          <w:szCs w:val="32"/>
        </w:rPr>
        <w:t>城镇开发边界应尽可能</w:t>
      </w:r>
      <w:r>
        <w:rPr>
          <w:rFonts w:ascii="仿宋_GB2312"/>
          <w:color w:val="000000" w:themeColor="text1"/>
          <w:sz w:val="32"/>
          <w:szCs w:val="32"/>
        </w:rPr>
        <w:t>避让</w:t>
      </w:r>
      <w:r>
        <w:rPr>
          <w:rFonts w:ascii="仿宋_GB2312" w:hint="eastAsia"/>
          <w:color w:val="000000" w:themeColor="text1"/>
          <w:sz w:val="32"/>
          <w:szCs w:val="32"/>
        </w:rPr>
        <w:t>生态保护红线、永久基本农田。出于城镇开发边界完整性及特殊地形条件约束的考虑，对于无法</w:t>
      </w:r>
      <w:r>
        <w:rPr>
          <w:rFonts w:ascii="仿宋_GB2312"/>
          <w:color w:val="000000" w:themeColor="text1"/>
          <w:sz w:val="32"/>
          <w:szCs w:val="32"/>
        </w:rPr>
        <w:t>调整的</w:t>
      </w:r>
      <w:r>
        <w:rPr>
          <w:rFonts w:ascii="仿宋_GB2312" w:hint="eastAsia"/>
          <w:color w:val="000000" w:themeColor="text1"/>
          <w:sz w:val="32"/>
          <w:szCs w:val="32"/>
        </w:rPr>
        <w:t>零散分布生态保护红线和永久基本农田，可以“开天窗”形式不计入城镇开发边界面积，并按照生态保护红线、永久基本农田的保护要求进行管理。</w:t>
      </w:r>
    </w:p>
    <w:p w:rsidR="007B4818" w:rsidRDefault="00D73177">
      <w:pPr>
        <w:pStyle w:val="13"/>
        <w:jc w:val="both"/>
        <w:rPr>
          <w:rFonts w:ascii="仿宋_GB2312"/>
          <w:b/>
          <w:color w:val="000000" w:themeColor="text1"/>
          <w:sz w:val="32"/>
          <w:szCs w:val="32"/>
        </w:rPr>
      </w:pPr>
      <w:bookmarkStart w:id="283" w:name="_Toc22738908"/>
      <w:r>
        <w:rPr>
          <w:rFonts w:ascii="仿宋_GB2312"/>
          <w:b/>
          <w:color w:val="000000" w:themeColor="text1"/>
          <w:sz w:val="32"/>
          <w:szCs w:val="32"/>
        </w:rPr>
        <w:t>G</w:t>
      </w:r>
      <w:r>
        <w:rPr>
          <w:rFonts w:ascii="仿宋_GB2312" w:hint="eastAsia"/>
          <w:b/>
          <w:color w:val="000000" w:themeColor="text1"/>
          <w:sz w:val="32"/>
          <w:szCs w:val="32"/>
        </w:rPr>
        <w:t>.</w:t>
      </w:r>
      <w:r>
        <w:rPr>
          <w:rFonts w:ascii="仿宋_GB2312"/>
          <w:b/>
          <w:color w:val="000000" w:themeColor="text1"/>
          <w:sz w:val="32"/>
          <w:szCs w:val="32"/>
        </w:rPr>
        <w:t>3</w:t>
      </w:r>
      <w:r>
        <w:rPr>
          <w:rFonts w:ascii="仿宋_GB2312" w:hint="eastAsia"/>
          <w:b/>
          <w:color w:val="000000" w:themeColor="text1"/>
          <w:sz w:val="32"/>
          <w:szCs w:val="32"/>
        </w:rPr>
        <w:t>.</w:t>
      </w:r>
      <w:r>
        <w:rPr>
          <w:rFonts w:ascii="仿宋_GB2312"/>
          <w:b/>
          <w:color w:val="000000" w:themeColor="text1"/>
          <w:sz w:val="32"/>
          <w:szCs w:val="32"/>
        </w:rPr>
        <w:t xml:space="preserve">3 </w:t>
      </w:r>
      <w:r>
        <w:rPr>
          <w:rFonts w:ascii="仿宋_GB2312" w:hint="eastAsia"/>
          <w:b/>
          <w:color w:val="000000" w:themeColor="text1"/>
          <w:sz w:val="32"/>
          <w:szCs w:val="32"/>
        </w:rPr>
        <w:t>划定入库</w:t>
      </w:r>
      <w:bookmarkEnd w:id="283"/>
    </w:p>
    <w:p w:rsidR="007B4818" w:rsidRDefault="00D73177">
      <w:pPr>
        <w:pStyle w:val="13"/>
        <w:jc w:val="both"/>
        <w:rPr>
          <w:rFonts w:ascii="仿宋_GB2312"/>
          <w:color w:val="000000" w:themeColor="text1"/>
          <w:sz w:val="32"/>
          <w:szCs w:val="32"/>
        </w:rPr>
      </w:pPr>
      <w:r>
        <w:rPr>
          <w:rFonts w:ascii="仿宋_GB2312"/>
          <w:b/>
          <w:color w:val="000000" w:themeColor="text1"/>
          <w:sz w:val="32"/>
          <w:szCs w:val="32"/>
        </w:rPr>
        <w:t>G</w:t>
      </w:r>
      <w:r>
        <w:rPr>
          <w:rFonts w:ascii="仿宋_GB2312" w:hint="eastAsia"/>
          <w:b/>
          <w:color w:val="000000" w:themeColor="text1"/>
          <w:sz w:val="32"/>
          <w:szCs w:val="32"/>
        </w:rPr>
        <w:t>.</w:t>
      </w:r>
      <w:r>
        <w:rPr>
          <w:rFonts w:ascii="仿宋_GB2312"/>
          <w:b/>
          <w:color w:val="000000" w:themeColor="text1"/>
          <w:sz w:val="32"/>
          <w:szCs w:val="32"/>
        </w:rPr>
        <w:t>3</w:t>
      </w:r>
      <w:r>
        <w:rPr>
          <w:rFonts w:ascii="仿宋_GB2312" w:hint="eastAsia"/>
          <w:b/>
          <w:color w:val="000000" w:themeColor="text1"/>
          <w:sz w:val="32"/>
          <w:szCs w:val="32"/>
        </w:rPr>
        <w:t>.</w:t>
      </w:r>
      <w:r>
        <w:rPr>
          <w:rFonts w:ascii="仿宋_GB2312"/>
          <w:b/>
          <w:color w:val="000000" w:themeColor="text1"/>
          <w:sz w:val="32"/>
          <w:szCs w:val="32"/>
        </w:rPr>
        <w:t>3</w:t>
      </w:r>
      <w:r>
        <w:rPr>
          <w:rFonts w:ascii="仿宋_GB2312" w:hint="eastAsia"/>
          <w:b/>
          <w:color w:val="000000" w:themeColor="text1"/>
          <w:sz w:val="32"/>
          <w:szCs w:val="32"/>
        </w:rPr>
        <w:t>.1 明晰边界。</w:t>
      </w:r>
      <w:r>
        <w:rPr>
          <w:rFonts w:ascii="仿宋_GB2312" w:hint="eastAsia"/>
          <w:color w:val="000000" w:themeColor="text1"/>
          <w:sz w:val="32"/>
          <w:szCs w:val="32"/>
        </w:rPr>
        <w:t>尽量利用国家有关基础调查明确的边界、各类地理边界线、行政管辖边界等界线，将城镇开发边界落到实地，做到清晰可辨、便于管理。城镇开发边界由一条或多条连续闭合线组成，单一闭合线围合面积原则上不小于30公顷。</w:t>
      </w:r>
    </w:p>
    <w:p w:rsidR="007B4818" w:rsidRDefault="00D73177">
      <w:pPr>
        <w:pStyle w:val="13"/>
        <w:jc w:val="both"/>
        <w:rPr>
          <w:rFonts w:ascii="仿宋_GB2312" w:hAnsi="仿宋_GB2312" w:cs="仿宋_GB2312"/>
          <w:color w:val="000000" w:themeColor="text1"/>
          <w:sz w:val="32"/>
          <w:szCs w:val="32"/>
        </w:rPr>
      </w:pPr>
      <w:r>
        <w:rPr>
          <w:rFonts w:ascii="仿宋_GB2312" w:hAnsi="仿宋_GB2312" w:cs="仿宋_GB2312" w:hint="eastAsia"/>
          <w:b/>
          <w:color w:val="000000" w:themeColor="text1"/>
          <w:sz w:val="32"/>
          <w:szCs w:val="32"/>
        </w:rPr>
        <w:t>G.3.3.2 上图入库。</w:t>
      </w:r>
      <w:r>
        <w:rPr>
          <w:rFonts w:ascii="仿宋_GB2312" w:hAnsi="仿宋_GB2312" w:cs="仿宋_GB2312" w:hint="eastAsia"/>
          <w:color w:val="000000" w:themeColor="text1"/>
          <w:sz w:val="32"/>
          <w:szCs w:val="32"/>
        </w:rPr>
        <w:t>划定成果矢量数据采用2000国家大地坐标系和1985国家高程基准，在“三</w:t>
      </w:r>
      <w:bookmarkStart w:id="284" w:name="_GoBack"/>
      <w:r>
        <w:rPr>
          <w:rFonts w:ascii="仿宋_GB2312" w:hAnsi="仿宋_GB2312" w:cs="仿宋_GB2312"/>
          <w:color w:val="000000" w:themeColor="text1"/>
          <w:sz w:val="32"/>
          <w:szCs w:val="32"/>
        </w:rPr>
        <w:t>调</w:t>
      </w:r>
      <w:bookmarkEnd w:id="284"/>
      <w:r>
        <w:rPr>
          <w:rFonts w:ascii="仿宋_GB2312" w:hAnsi="仿宋_GB2312" w:cs="仿宋_GB2312" w:hint="eastAsia"/>
          <w:color w:val="000000" w:themeColor="text1"/>
          <w:sz w:val="32"/>
          <w:szCs w:val="32"/>
        </w:rPr>
        <w:t>”成果基础上，结合高分辨率卫星遥感影像图、地形图等基础地理信息数据，作为国土空间规划成果一同汇交入库。</w:t>
      </w:r>
    </w:p>
    <w:sectPr w:rsidR="007B4818" w:rsidSect="007B4818">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818" w:rsidRDefault="007B4818" w:rsidP="007B4818">
      <w:r>
        <w:separator/>
      </w:r>
    </w:p>
  </w:endnote>
  <w:endnote w:type="continuationSeparator" w:id="1">
    <w:p w:rsidR="007B4818" w:rsidRDefault="007B4818" w:rsidP="007B481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818" w:rsidRDefault="007B4818">
    <w:pPr>
      <w:pStyle w:val="a8"/>
      <w:tabs>
        <w:tab w:val="clear"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818" w:rsidRDefault="00E87F2F">
    <w:pPr>
      <w:pStyle w:val="a8"/>
    </w:pPr>
    <w:r>
      <w:pict>
        <v:shapetype id="_x0000_t202" coordsize="21600,21600" o:spt="202" path="m,l,21600r21600,l21600,xe">
          <v:stroke joinstyle="miter"/>
          <v:path gradientshapeok="t" o:connecttype="rect"/>
        </v:shapetype>
        <v:shape id="_x0000_s1026" type="#_x0000_t202" style="position:absolute;margin-left:0;margin-top:0;width:9.15pt;height:11pt;z-index:251658240;mso-wrap-style:none;mso-position-horizontal:center;mso-position-horizontal-relative:margin;mso-width-relative:page;mso-height-relative:page"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AXiSjSAAAAAwEAAA8AAAAAAAAA&#10;AQAgAAAAIgAAAGRycy9kb3ducmV2LnhtbFBLAQIUABQAAAAIAIdO4kAkzBWOFwIAABMEAAAOAAAA&#10;AAAAAAEAIAAAACEBAABkcnMvZTJvRG9jLnhtbFBLBQYAAAAABgAGAFkBAACqBQAAAAA=&#10;" filled="f" stroked="f" strokeweight=".5pt">
          <v:textbox style="mso-fit-shape-to-text:t" inset="0,0,0,0">
            <w:txbxContent>
              <w:p w:rsidR="007B4818" w:rsidRDefault="00E87F2F">
                <w:pPr>
                  <w:pStyle w:val="a8"/>
                </w:pPr>
                <w:r>
                  <w:fldChar w:fldCharType="begin"/>
                </w:r>
                <w:r w:rsidR="00D73177">
                  <w:instrText xml:space="preserve"> PAGE  \* MERGEFORMAT </w:instrText>
                </w:r>
                <w:r>
                  <w:fldChar w:fldCharType="separate"/>
                </w:r>
                <w:r w:rsidR="00D73177">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818" w:rsidRDefault="007B4818" w:rsidP="007B4818">
      <w:r>
        <w:separator/>
      </w:r>
    </w:p>
  </w:footnote>
  <w:footnote w:type="continuationSeparator" w:id="1">
    <w:p w:rsidR="007B4818" w:rsidRDefault="007B4818" w:rsidP="007B48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1"/>
      <w:lvlText w:val="%1"/>
      <w:lvlJc w:val="left"/>
      <w:pPr>
        <w:ind w:left="425" w:hanging="425"/>
      </w:pPr>
      <w:rPr>
        <w:rFonts w:ascii="黑体" w:eastAsia="黑体" w:hAnsi="黑体" w:hint="eastAsia"/>
      </w:rPr>
    </w:lvl>
    <w:lvl w:ilvl="1">
      <w:start w:val="1"/>
      <w:numFmt w:val="decimal"/>
      <w:pStyle w:val="2"/>
      <w:lvlText w:val="%1.%2"/>
      <w:lvlJc w:val="left"/>
      <w:pPr>
        <w:ind w:left="992" w:hanging="567"/>
      </w:pPr>
      <w:rPr>
        <w:rFonts w:hint="eastAsia"/>
        <w:color w:val="auto"/>
      </w:rPr>
    </w:lvl>
    <w:lvl w:ilvl="2">
      <w:start w:val="1"/>
      <w:numFmt w:val="decimal"/>
      <w:pStyle w:val="3"/>
      <w:lvlText w:val="%1.%2.%3"/>
      <w:lvlJc w:val="left"/>
      <w:pPr>
        <w:ind w:left="4535" w:hanging="283"/>
      </w:pPr>
      <w:rPr>
        <w:rFonts w:hint="eastAsia"/>
        <w:color w:val="auto"/>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0000003"/>
    <w:multiLevelType w:val="multilevel"/>
    <w:tmpl w:val="00000003"/>
    <w:lvl w:ilvl="0">
      <w:start w:val="1"/>
      <w:numFmt w:val="none"/>
      <w:pStyle w:val="a"/>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D303AB3"/>
    <w:rsid w:val="00002AD6"/>
    <w:rsid w:val="00003162"/>
    <w:rsid w:val="00005D79"/>
    <w:rsid w:val="00006800"/>
    <w:rsid w:val="00006E08"/>
    <w:rsid w:val="000070D6"/>
    <w:rsid w:val="00007B90"/>
    <w:rsid w:val="00013AAA"/>
    <w:rsid w:val="00014FAF"/>
    <w:rsid w:val="0001515C"/>
    <w:rsid w:val="00016D2C"/>
    <w:rsid w:val="00022129"/>
    <w:rsid w:val="00023947"/>
    <w:rsid w:val="00024C80"/>
    <w:rsid w:val="00027596"/>
    <w:rsid w:val="000318CB"/>
    <w:rsid w:val="000331E0"/>
    <w:rsid w:val="00034891"/>
    <w:rsid w:val="00035790"/>
    <w:rsid w:val="000404EA"/>
    <w:rsid w:val="0004087A"/>
    <w:rsid w:val="00040E5C"/>
    <w:rsid w:val="00041069"/>
    <w:rsid w:val="0004128C"/>
    <w:rsid w:val="00043A04"/>
    <w:rsid w:val="000447C4"/>
    <w:rsid w:val="00047F88"/>
    <w:rsid w:val="0005004F"/>
    <w:rsid w:val="00052169"/>
    <w:rsid w:val="0005401C"/>
    <w:rsid w:val="00062456"/>
    <w:rsid w:val="00063109"/>
    <w:rsid w:val="00063490"/>
    <w:rsid w:val="0006375B"/>
    <w:rsid w:val="0006525A"/>
    <w:rsid w:val="000678BA"/>
    <w:rsid w:val="00067C6C"/>
    <w:rsid w:val="00071B3C"/>
    <w:rsid w:val="000736B1"/>
    <w:rsid w:val="00073C57"/>
    <w:rsid w:val="000746E2"/>
    <w:rsid w:val="00075B8B"/>
    <w:rsid w:val="00077142"/>
    <w:rsid w:val="00080810"/>
    <w:rsid w:val="00080BA4"/>
    <w:rsid w:val="000814B8"/>
    <w:rsid w:val="00081BDD"/>
    <w:rsid w:val="000830C4"/>
    <w:rsid w:val="00085939"/>
    <w:rsid w:val="0008600C"/>
    <w:rsid w:val="000902B4"/>
    <w:rsid w:val="0009424B"/>
    <w:rsid w:val="0009662B"/>
    <w:rsid w:val="00097FAA"/>
    <w:rsid w:val="000A2267"/>
    <w:rsid w:val="000A2715"/>
    <w:rsid w:val="000A45BC"/>
    <w:rsid w:val="000A57E3"/>
    <w:rsid w:val="000A6F2B"/>
    <w:rsid w:val="000A74AD"/>
    <w:rsid w:val="000B0A59"/>
    <w:rsid w:val="000B154F"/>
    <w:rsid w:val="000B1E9C"/>
    <w:rsid w:val="000B3847"/>
    <w:rsid w:val="000B3D1E"/>
    <w:rsid w:val="000B6B2F"/>
    <w:rsid w:val="000B6D58"/>
    <w:rsid w:val="000B7C1F"/>
    <w:rsid w:val="000C006B"/>
    <w:rsid w:val="000C0D59"/>
    <w:rsid w:val="000C1265"/>
    <w:rsid w:val="000C29FF"/>
    <w:rsid w:val="000C4714"/>
    <w:rsid w:val="000D069B"/>
    <w:rsid w:val="000D0819"/>
    <w:rsid w:val="000D1C83"/>
    <w:rsid w:val="000D311E"/>
    <w:rsid w:val="000D356B"/>
    <w:rsid w:val="000D4170"/>
    <w:rsid w:val="000D59A3"/>
    <w:rsid w:val="000D6607"/>
    <w:rsid w:val="000D7BB3"/>
    <w:rsid w:val="000E0413"/>
    <w:rsid w:val="000E09B4"/>
    <w:rsid w:val="000E1BB7"/>
    <w:rsid w:val="000E1E9C"/>
    <w:rsid w:val="000E39CA"/>
    <w:rsid w:val="000E7B36"/>
    <w:rsid w:val="000F125F"/>
    <w:rsid w:val="000F2FF5"/>
    <w:rsid w:val="000F37CB"/>
    <w:rsid w:val="000F3C33"/>
    <w:rsid w:val="001012CD"/>
    <w:rsid w:val="001049DE"/>
    <w:rsid w:val="001053D0"/>
    <w:rsid w:val="00105A78"/>
    <w:rsid w:val="00106B74"/>
    <w:rsid w:val="001117BB"/>
    <w:rsid w:val="00115DBD"/>
    <w:rsid w:val="00116128"/>
    <w:rsid w:val="00116ED0"/>
    <w:rsid w:val="00116F51"/>
    <w:rsid w:val="001179E2"/>
    <w:rsid w:val="00120862"/>
    <w:rsid w:val="00122605"/>
    <w:rsid w:val="00122B32"/>
    <w:rsid w:val="00131527"/>
    <w:rsid w:val="00131D5D"/>
    <w:rsid w:val="0013346E"/>
    <w:rsid w:val="00133BFA"/>
    <w:rsid w:val="00133EC7"/>
    <w:rsid w:val="001346AB"/>
    <w:rsid w:val="00135237"/>
    <w:rsid w:val="0013788E"/>
    <w:rsid w:val="00137E56"/>
    <w:rsid w:val="001406E6"/>
    <w:rsid w:val="00140A60"/>
    <w:rsid w:val="00141C0A"/>
    <w:rsid w:val="0014252E"/>
    <w:rsid w:val="00144648"/>
    <w:rsid w:val="0014525B"/>
    <w:rsid w:val="00145D3F"/>
    <w:rsid w:val="001474D0"/>
    <w:rsid w:val="00150CA7"/>
    <w:rsid w:val="00151F7C"/>
    <w:rsid w:val="00152553"/>
    <w:rsid w:val="00153343"/>
    <w:rsid w:val="00154E61"/>
    <w:rsid w:val="00155306"/>
    <w:rsid w:val="0015613C"/>
    <w:rsid w:val="001613D3"/>
    <w:rsid w:val="00161E9A"/>
    <w:rsid w:val="00164757"/>
    <w:rsid w:val="00165529"/>
    <w:rsid w:val="0017231C"/>
    <w:rsid w:val="0017396A"/>
    <w:rsid w:val="00174516"/>
    <w:rsid w:val="00176E4B"/>
    <w:rsid w:val="0017747E"/>
    <w:rsid w:val="00181728"/>
    <w:rsid w:val="001821F6"/>
    <w:rsid w:val="00185409"/>
    <w:rsid w:val="00185E06"/>
    <w:rsid w:val="0019372A"/>
    <w:rsid w:val="00193C04"/>
    <w:rsid w:val="001A378B"/>
    <w:rsid w:val="001A38A0"/>
    <w:rsid w:val="001A4858"/>
    <w:rsid w:val="001A6C93"/>
    <w:rsid w:val="001B1C91"/>
    <w:rsid w:val="001B1D7D"/>
    <w:rsid w:val="001B4914"/>
    <w:rsid w:val="001B743A"/>
    <w:rsid w:val="001C0623"/>
    <w:rsid w:val="001C4CEA"/>
    <w:rsid w:val="001C575E"/>
    <w:rsid w:val="001C6CEF"/>
    <w:rsid w:val="001D048C"/>
    <w:rsid w:val="001D293D"/>
    <w:rsid w:val="001D46A3"/>
    <w:rsid w:val="001D48F2"/>
    <w:rsid w:val="001D4AFB"/>
    <w:rsid w:val="001D51B1"/>
    <w:rsid w:val="001D79A6"/>
    <w:rsid w:val="001D7F45"/>
    <w:rsid w:val="001E0BDE"/>
    <w:rsid w:val="001E19E0"/>
    <w:rsid w:val="001E4296"/>
    <w:rsid w:val="001E460B"/>
    <w:rsid w:val="001E5BE4"/>
    <w:rsid w:val="001F0800"/>
    <w:rsid w:val="001F2B23"/>
    <w:rsid w:val="001F6E0B"/>
    <w:rsid w:val="0020218D"/>
    <w:rsid w:val="002022BB"/>
    <w:rsid w:val="0020244B"/>
    <w:rsid w:val="00203D27"/>
    <w:rsid w:val="00203DD1"/>
    <w:rsid w:val="00204500"/>
    <w:rsid w:val="002048ED"/>
    <w:rsid w:val="00204A06"/>
    <w:rsid w:val="00205EAD"/>
    <w:rsid w:val="00210555"/>
    <w:rsid w:val="002116C2"/>
    <w:rsid w:val="002131EF"/>
    <w:rsid w:val="00213A7D"/>
    <w:rsid w:val="00214AD4"/>
    <w:rsid w:val="002161A9"/>
    <w:rsid w:val="00216878"/>
    <w:rsid w:val="00216C10"/>
    <w:rsid w:val="002175BB"/>
    <w:rsid w:val="002230D1"/>
    <w:rsid w:val="002236D2"/>
    <w:rsid w:val="00226257"/>
    <w:rsid w:val="00226B49"/>
    <w:rsid w:val="00226C68"/>
    <w:rsid w:val="0023218B"/>
    <w:rsid w:val="00232EA8"/>
    <w:rsid w:val="0023480C"/>
    <w:rsid w:val="00234D4B"/>
    <w:rsid w:val="00235C41"/>
    <w:rsid w:val="0024009A"/>
    <w:rsid w:val="00242FDC"/>
    <w:rsid w:val="00243FC2"/>
    <w:rsid w:val="00246CAA"/>
    <w:rsid w:val="0025110F"/>
    <w:rsid w:val="00251C9E"/>
    <w:rsid w:val="002566A3"/>
    <w:rsid w:val="00256CDD"/>
    <w:rsid w:val="0026135C"/>
    <w:rsid w:val="00264FBD"/>
    <w:rsid w:val="00265A6F"/>
    <w:rsid w:val="00266E07"/>
    <w:rsid w:val="0026725D"/>
    <w:rsid w:val="0027084B"/>
    <w:rsid w:val="002726F5"/>
    <w:rsid w:val="0027348D"/>
    <w:rsid w:val="0027361F"/>
    <w:rsid w:val="00274718"/>
    <w:rsid w:val="00274A00"/>
    <w:rsid w:val="00275AD4"/>
    <w:rsid w:val="0027754E"/>
    <w:rsid w:val="00281E35"/>
    <w:rsid w:val="00282210"/>
    <w:rsid w:val="00282556"/>
    <w:rsid w:val="00282F8E"/>
    <w:rsid w:val="002842E4"/>
    <w:rsid w:val="002855E9"/>
    <w:rsid w:val="00286636"/>
    <w:rsid w:val="00286930"/>
    <w:rsid w:val="00292F14"/>
    <w:rsid w:val="00296282"/>
    <w:rsid w:val="002966FA"/>
    <w:rsid w:val="002A2034"/>
    <w:rsid w:val="002A252C"/>
    <w:rsid w:val="002A5066"/>
    <w:rsid w:val="002A535F"/>
    <w:rsid w:val="002A6B31"/>
    <w:rsid w:val="002B1764"/>
    <w:rsid w:val="002B1801"/>
    <w:rsid w:val="002B25AB"/>
    <w:rsid w:val="002B6B68"/>
    <w:rsid w:val="002B75B3"/>
    <w:rsid w:val="002C2E9F"/>
    <w:rsid w:val="002C2F5E"/>
    <w:rsid w:val="002C3D84"/>
    <w:rsid w:val="002C5254"/>
    <w:rsid w:val="002C5A13"/>
    <w:rsid w:val="002C6C01"/>
    <w:rsid w:val="002C777B"/>
    <w:rsid w:val="002D38F3"/>
    <w:rsid w:val="002D61EB"/>
    <w:rsid w:val="002D6997"/>
    <w:rsid w:val="002E1608"/>
    <w:rsid w:val="002E32AD"/>
    <w:rsid w:val="002E36AB"/>
    <w:rsid w:val="002E4467"/>
    <w:rsid w:val="002E52AD"/>
    <w:rsid w:val="002E602A"/>
    <w:rsid w:val="002F0525"/>
    <w:rsid w:val="002F4236"/>
    <w:rsid w:val="002F4BC4"/>
    <w:rsid w:val="002F6C94"/>
    <w:rsid w:val="002F79E6"/>
    <w:rsid w:val="003006C7"/>
    <w:rsid w:val="00302079"/>
    <w:rsid w:val="0030290F"/>
    <w:rsid w:val="00304B29"/>
    <w:rsid w:val="00306326"/>
    <w:rsid w:val="003065A5"/>
    <w:rsid w:val="00306DE0"/>
    <w:rsid w:val="00310692"/>
    <w:rsid w:val="00310A84"/>
    <w:rsid w:val="00310D04"/>
    <w:rsid w:val="00311328"/>
    <w:rsid w:val="00312210"/>
    <w:rsid w:val="00313666"/>
    <w:rsid w:val="00314BD9"/>
    <w:rsid w:val="003156A4"/>
    <w:rsid w:val="00321050"/>
    <w:rsid w:val="00323FCF"/>
    <w:rsid w:val="0032703A"/>
    <w:rsid w:val="0032799D"/>
    <w:rsid w:val="00327F39"/>
    <w:rsid w:val="003307CE"/>
    <w:rsid w:val="003308AB"/>
    <w:rsid w:val="00330EF8"/>
    <w:rsid w:val="003351E7"/>
    <w:rsid w:val="00337C7F"/>
    <w:rsid w:val="0034024C"/>
    <w:rsid w:val="00345A98"/>
    <w:rsid w:val="00346F83"/>
    <w:rsid w:val="003510C8"/>
    <w:rsid w:val="00352A2C"/>
    <w:rsid w:val="003542CF"/>
    <w:rsid w:val="0035539F"/>
    <w:rsid w:val="003553FB"/>
    <w:rsid w:val="00355B6E"/>
    <w:rsid w:val="0035624E"/>
    <w:rsid w:val="00356B36"/>
    <w:rsid w:val="00365E09"/>
    <w:rsid w:val="00370520"/>
    <w:rsid w:val="00370AED"/>
    <w:rsid w:val="00372973"/>
    <w:rsid w:val="00373D52"/>
    <w:rsid w:val="00376B91"/>
    <w:rsid w:val="00376BCE"/>
    <w:rsid w:val="00377ECB"/>
    <w:rsid w:val="00377EE6"/>
    <w:rsid w:val="00381DE1"/>
    <w:rsid w:val="00382D1B"/>
    <w:rsid w:val="00383200"/>
    <w:rsid w:val="003832AF"/>
    <w:rsid w:val="003851A6"/>
    <w:rsid w:val="00390077"/>
    <w:rsid w:val="00390337"/>
    <w:rsid w:val="0039235B"/>
    <w:rsid w:val="00393D12"/>
    <w:rsid w:val="00395782"/>
    <w:rsid w:val="00396DE9"/>
    <w:rsid w:val="003A252B"/>
    <w:rsid w:val="003A2724"/>
    <w:rsid w:val="003A5744"/>
    <w:rsid w:val="003A5C1E"/>
    <w:rsid w:val="003B1FB4"/>
    <w:rsid w:val="003B2CD8"/>
    <w:rsid w:val="003B3FCE"/>
    <w:rsid w:val="003B5ADA"/>
    <w:rsid w:val="003C0C60"/>
    <w:rsid w:val="003C20F4"/>
    <w:rsid w:val="003C484F"/>
    <w:rsid w:val="003C51D6"/>
    <w:rsid w:val="003C6EC6"/>
    <w:rsid w:val="003C7555"/>
    <w:rsid w:val="003D0526"/>
    <w:rsid w:val="003D1A52"/>
    <w:rsid w:val="003D4519"/>
    <w:rsid w:val="003D52C7"/>
    <w:rsid w:val="003D54AA"/>
    <w:rsid w:val="003D79E7"/>
    <w:rsid w:val="003E0126"/>
    <w:rsid w:val="003E1018"/>
    <w:rsid w:val="003E19B8"/>
    <w:rsid w:val="003E2687"/>
    <w:rsid w:val="003E3913"/>
    <w:rsid w:val="003E570A"/>
    <w:rsid w:val="003F34B6"/>
    <w:rsid w:val="004039CA"/>
    <w:rsid w:val="0040584A"/>
    <w:rsid w:val="00405F2A"/>
    <w:rsid w:val="00411C16"/>
    <w:rsid w:val="00414A59"/>
    <w:rsid w:val="00425DD1"/>
    <w:rsid w:val="0042622C"/>
    <w:rsid w:val="004311E4"/>
    <w:rsid w:val="00431437"/>
    <w:rsid w:val="00431A42"/>
    <w:rsid w:val="0043262C"/>
    <w:rsid w:val="00432872"/>
    <w:rsid w:val="00432CA4"/>
    <w:rsid w:val="00432D19"/>
    <w:rsid w:val="0043495E"/>
    <w:rsid w:val="00434D88"/>
    <w:rsid w:val="00441812"/>
    <w:rsid w:val="00442B03"/>
    <w:rsid w:val="00447558"/>
    <w:rsid w:val="004503DB"/>
    <w:rsid w:val="00454C97"/>
    <w:rsid w:val="004551F3"/>
    <w:rsid w:val="0045662B"/>
    <w:rsid w:val="00460352"/>
    <w:rsid w:val="00463375"/>
    <w:rsid w:val="00464980"/>
    <w:rsid w:val="00466477"/>
    <w:rsid w:val="00470FC5"/>
    <w:rsid w:val="0047143C"/>
    <w:rsid w:val="00473A78"/>
    <w:rsid w:val="0047425D"/>
    <w:rsid w:val="00475E8C"/>
    <w:rsid w:val="004814D4"/>
    <w:rsid w:val="00481B92"/>
    <w:rsid w:val="00485F58"/>
    <w:rsid w:val="004860A1"/>
    <w:rsid w:val="00491F08"/>
    <w:rsid w:val="004935A1"/>
    <w:rsid w:val="0049507E"/>
    <w:rsid w:val="004A46A3"/>
    <w:rsid w:val="004A4E46"/>
    <w:rsid w:val="004A77DA"/>
    <w:rsid w:val="004B03A7"/>
    <w:rsid w:val="004B45A2"/>
    <w:rsid w:val="004B46B9"/>
    <w:rsid w:val="004B6F73"/>
    <w:rsid w:val="004C0000"/>
    <w:rsid w:val="004C0116"/>
    <w:rsid w:val="004C1247"/>
    <w:rsid w:val="004C2FC9"/>
    <w:rsid w:val="004C3856"/>
    <w:rsid w:val="004C3FD2"/>
    <w:rsid w:val="004C4828"/>
    <w:rsid w:val="004C50ED"/>
    <w:rsid w:val="004C563F"/>
    <w:rsid w:val="004C638B"/>
    <w:rsid w:val="004C6696"/>
    <w:rsid w:val="004C6CD6"/>
    <w:rsid w:val="004D1102"/>
    <w:rsid w:val="004D222D"/>
    <w:rsid w:val="004D3283"/>
    <w:rsid w:val="004D5EF8"/>
    <w:rsid w:val="004E0BE0"/>
    <w:rsid w:val="004E46B6"/>
    <w:rsid w:val="004E7DAE"/>
    <w:rsid w:val="004F069C"/>
    <w:rsid w:val="004F402A"/>
    <w:rsid w:val="004F4EB4"/>
    <w:rsid w:val="004F6EE4"/>
    <w:rsid w:val="004F7DF4"/>
    <w:rsid w:val="0050036C"/>
    <w:rsid w:val="005005E8"/>
    <w:rsid w:val="00502668"/>
    <w:rsid w:val="00503E1B"/>
    <w:rsid w:val="005051BE"/>
    <w:rsid w:val="0051022A"/>
    <w:rsid w:val="00510794"/>
    <w:rsid w:val="005127D1"/>
    <w:rsid w:val="00512D7F"/>
    <w:rsid w:val="00516A69"/>
    <w:rsid w:val="0051781B"/>
    <w:rsid w:val="00520A50"/>
    <w:rsid w:val="005216D8"/>
    <w:rsid w:val="00521A14"/>
    <w:rsid w:val="00523D8F"/>
    <w:rsid w:val="00524EE6"/>
    <w:rsid w:val="005262E6"/>
    <w:rsid w:val="00531113"/>
    <w:rsid w:val="00531C06"/>
    <w:rsid w:val="00532DDE"/>
    <w:rsid w:val="005333E0"/>
    <w:rsid w:val="00533FF7"/>
    <w:rsid w:val="0053405C"/>
    <w:rsid w:val="00534A02"/>
    <w:rsid w:val="00534D76"/>
    <w:rsid w:val="00534FC7"/>
    <w:rsid w:val="00541071"/>
    <w:rsid w:val="00542E97"/>
    <w:rsid w:val="005443FA"/>
    <w:rsid w:val="0054631E"/>
    <w:rsid w:val="005472F0"/>
    <w:rsid w:val="005504C7"/>
    <w:rsid w:val="005512B3"/>
    <w:rsid w:val="005517E0"/>
    <w:rsid w:val="00553763"/>
    <w:rsid w:val="005557BF"/>
    <w:rsid w:val="00556604"/>
    <w:rsid w:val="00557BFC"/>
    <w:rsid w:val="005631AB"/>
    <w:rsid w:val="00564459"/>
    <w:rsid w:val="00570CFF"/>
    <w:rsid w:val="00572F86"/>
    <w:rsid w:val="005757FD"/>
    <w:rsid w:val="00580DD0"/>
    <w:rsid w:val="00582D79"/>
    <w:rsid w:val="00584676"/>
    <w:rsid w:val="005902D0"/>
    <w:rsid w:val="005915A4"/>
    <w:rsid w:val="005916C1"/>
    <w:rsid w:val="00591F42"/>
    <w:rsid w:val="0059597F"/>
    <w:rsid w:val="00596739"/>
    <w:rsid w:val="00597414"/>
    <w:rsid w:val="005A0993"/>
    <w:rsid w:val="005A1468"/>
    <w:rsid w:val="005A29DF"/>
    <w:rsid w:val="005A2E77"/>
    <w:rsid w:val="005A3FB4"/>
    <w:rsid w:val="005A52F3"/>
    <w:rsid w:val="005B1988"/>
    <w:rsid w:val="005B4870"/>
    <w:rsid w:val="005C0D2D"/>
    <w:rsid w:val="005C0DC0"/>
    <w:rsid w:val="005C321D"/>
    <w:rsid w:val="005C357B"/>
    <w:rsid w:val="005C59EF"/>
    <w:rsid w:val="005D3BA5"/>
    <w:rsid w:val="005D5721"/>
    <w:rsid w:val="005D642D"/>
    <w:rsid w:val="005D6D88"/>
    <w:rsid w:val="005E04DF"/>
    <w:rsid w:val="005E1139"/>
    <w:rsid w:val="005E4A97"/>
    <w:rsid w:val="005E692A"/>
    <w:rsid w:val="005E6D55"/>
    <w:rsid w:val="005F0C4A"/>
    <w:rsid w:val="005F1114"/>
    <w:rsid w:val="005F3E44"/>
    <w:rsid w:val="005F43F8"/>
    <w:rsid w:val="005F550C"/>
    <w:rsid w:val="005F6701"/>
    <w:rsid w:val="005F79D5"/>
    <w:rsid w:val="005F7CBB"/>
    <w:rsid w:val="00602CB1"/>
    <w:rsid w:val="006071A0"/>
    <w:rsid w:val="00607280"/>
    <w:rsid w:val="00610D00"/>
    <w:rsid w:val="00613A57"/>
    <w:rsid w:val="00615E4D"/>
    <w:rsid w:val="00620311"/>
    <w:rsid w:val="00620503"/>
    <w:rsid w:val="00621F05"/>
    <w:rsid w:val="00623212"/>
    <w:rsid w:val="0062370F"/>
    <w:rsid w:val="00625553"/>
    <w:rsid w:val="00627555"/>
    <w:rsid w:val="006348CB"/>
    <w:rsid w:val="006356F7"/>
    <w:rsid w:val="006376ED"/>
    <w:rsid w:val="00644073"/>
    <w:rsid w:val="00646FFF"/>
    <w:rsid w:val="0064756E"/>
    <w:rsid w:val="00647CCC"/>
    <w:rsid w:val="00647F8F"/>
    <w:rsid w:val="00651013"/>
    <w:rsid w:val="00654DC2"/>
    <w:rsid w:val="0065580B"/>
    <w:rsid w:val="0065606E"/>
    <w:rsid w:val="0065608A"/>
    <w:rsid w:val="00656243"/>
    <w:rsid w:val="0065649A"/>
    <w:rsid w:val="00657E17"/>
    <w:rsid w:val="00662980"/>
    <w:rsid w:val="006665EB"/>
    <w:rsid w:val="006672C1"/>
    <w:rsid w:val="006676B5"/>
    <w:rsid w:val="00667AD2"/>
    <w:rsid w:val="00667D66"/>
    <w:rsid w:val="00667D70"/>
    <w:rsid w:val="00670FC7"/>
    <w:rsid w:val="00671C77"/>
    <w:rsid w:val="00673A30"/>
    <w:rsid w:val="00677A7B"/>
    <w:rsid w:val="00677B43"/>
    <w:rsid w:val="00677D05"/>
    <w:rsid w:val="00681316"/>
    <w:rsid w:val="00682C09"/>
    <w:rsid w:val="00683014"/>
    <w:rsid w:val="0068304E"/>
    <w:rsid w:val="00683350"/>
    <w:rsid w:val="00684C9E"/>
    <w:rsid w:val="00684D0E"/>
    <w:rsid w:val="00690694"/>
    <w:rsid w:val="00690A39"/>
    <w:rsid w:val="00694237"/>
    <w:rsid w:val="00694365"/>
    <w:rsid w:val="00697292"/>
    <w:rsid w:val="006977AB"/>
    <w:rsid w:val="006A0BCF"/>
    <w:rsid w:val="006A3B7A"/>
    <w:rsid w:val="006A44DB"/>
    <w:rsid w:val="006A4DFE"/>
    <w:rsid w:val="006A61B8"/>
    <w:rsid w:val="006A67A6"/>
    <w:rsid w:val="006A6CA3"/>
    <w:rsid w:val="006B4A1E"/>
    <w:rsid w:val="006B7A18"/>
    <w:rsid w:val="006C3628"/>
    <w:rsid w:val="006C3B9F"/>
    <w:rsid w:val="006C5332"/>
    <w:rsid w:val="006D1474"/>
    <w:rsid w:val="006D3645"/>
    <w:rsid w:val="006D59A9"/>
    <w:rsid w:val="006D6981"/>
    <w:rsid w:val="006D6B2E"/>
    <w:rsid w:val="006D6CF4"/>
    <w:rsid w:val="006D6FC9"/>
    <w:rsid w:val="006E1536"/>
    <w:rsid w:val="006E6A37"/>
    <w:rsid w:val="006E6F75"/>
    <w:rsid w:val="006E778D"/>
    <w:rsid w:val="006F0B79"/>
    <w:rsid w:val="006F1708"/>
    <w:rsid w:val="006F33EB"/>
    <w:rsid w:val="006F38F4"/>
    <w:rsid w:val="006F44BA"/>
    <w:rsid w:val="006F5B60"/>
    <w:rsid w:val="006F6248"/>
    <w:rsid w:val="006F6A1D"/>
    <w:rsid w:val="006F6D6E"/>
    <w:rsid w:val="006F6EFB"/>
    <w:rsid w:val="006F72B2"/>
    <w:rsid w:val="00700155"/>
    <w:rsid w:val="00701255"/>
    <w:rsid w:val="007022E9"/>
    <w:rsid w:val="00704535"/>
    <w:rsid w:val="00705C2A"/>
    <w:rsid w:val="00706349"/>
    <w:rsid w:val="007064A3"/>
    <w:rsid w:val="00707955"/>
    <w:rsid w:val="00710470"/>
    <w:rsid w:val="00710D62"/>
    <w:rsid w:val="00711C36"/>
    <w:rsid w:val="0071446C"/>
    <w:rsid w:val="007144B4"/>
    <w:rsid w:val="007208D1"/>
    <w:rsid w:val="00723935"/>
    <w:rsid w:val="00726561"/>
    <w:rsid w:val="00727E34"/>
    <w:rsid w:val="00730D36"/>
    <w:rsid w:val="00730F2E"/>
    <w:rsid w:val="007334FA"/>
    <w:rsid w:val="007351D6"/>
    <w:rsid w:val="007352E9"/>
    <w:rsid w:val="00735C9F"/>
    <w:rsid w:val="007362DC"/>
    <w:rsid w:val="007363DD"/>
    <w:rsid w:val="007379CB"/>
    <w:rsid w:val="007404E4"/>
    <w:rsid w:val="00750B79"/>
    <w:rsid w:val="00752E37"/>
    <w:rsid w:val="0075457B"/>
    <w:rsid w:val="00754C9B"/>
    <w:rsid w:val="00755A45"/>
    <w:rsid w:val="0075685F"/>
    <w:rsid w:val="00757E98"/>
    <w:rsid w:val="007634FB"/>
    <w:rsid w:val="00763ACF"/>
    <w:rsid w:val="007644E3"/>
    <w:rsid w:val="00764563"/>
    <w:rsid w:val="00764940"/>
    <w:rsid w:val="00764C34"/>
    <w:rsid w:val="00765B70"/>
    <w:rsid w:val="00766B20"/>
    <w:rsid w:val="0076741D"/>
    <w:rsid w:val="00770837"/>
    <w:rsid w:val="007714B4"/>
    <w:rsid w:val="00771CDC"/>
    <w:rsid w:val="00772194"/>
    <w:rsid w:val="00773D2D"/>
    <w:rsid w:val="00775466"/>
    <w:rsid w:val="007766DD"/>
    <w:rsid w:val="007816B5"/>
    <w:rsid w:val="00781809"/>
    <w:rsid w:val="00782810"/>
    <w:rsid w:val="00785C9C"/>
    <w:rsid w:val="00787051"/>
    <w:rsid w:val="00787082"/>
    <w:rsid w:val="007902AD"/>
    <w:rsid w:val="00790C71"/>
    <w:rsid w:val="007924A8"/>
    <w:rsid w:val="00793641"/>
    <w:rsid w:val="00795D45"/>
    <w:rsid w:val="0079773A"/>
    <w:rsid w:val="007A089C"/>
    <w:rsid w:val="007A0F90"/>
    <w:rsid w:val="007A1754"/>
    <w:rsid w:val="007A6044"/>
    <w:rsid w:val="007A6BDB"/>
    <w:rsid w:val="007B0A0A"/>
    <w:rsid w:val="007B1909"/>
    <w:rsid w:val="007B1D1B"/>
    <w:rsid w:val="007B2644"/>
    <w:rsid w:val="007B313A"/>
    <w:rsid w:val="007B3B51"/>
    <w:rsid w:val="007B40B8"/>
    <w:rsid w:val="007B4818"/>
    <w:rsid w:val="007C023C"/>
    <w:rsid w:val="007C236E"/>
    <w:rsid w:val="007C6152"/>
    <w:rsid w:val="007C6828"/>
    <w:rsid w:val="007C6CEF"/>
    <w:rsid w:val="007C711C"/>
    <w:rsid w:val="007D1D7D"/>
    <w:rsid w:val="007D36BC"/>
    <w:rsid w:val="007D42B7"/>
    <w:rsid w:val="007D7152"/>
    <w:rsid w:val="007E29E6"/>
    <w:rsid w:val="007E34C0"/>
    <w:rsid w:val="007E3A5A"/>
    <w:rsid w:val="007E50FA"/>
    <w:rsid w:val="007E78BE"/>
    <w:rsid w:val="007E7E18"/>
    <w:rsid w:val="007F0D29"/>
    <w:rsid w:val="007F1E94"/>
    <w:rsid w:val="007F43FB"/>
    <w:rsid w:val="007F5990"/>
    <w:rsid w:val="007F73B7"/>
    <w:rsid w:val="008009D5"/>
    <w:rsid w:val="00800A94"/>
    <w:rsid w:val="00803321"/>
    <w:rsid w:val="0080345F"/>
    <w:rsid w:val="00804EF6"/>
    <w:rsid w:val="008056C0"/>
    <w:rsid w:val="00807CA9"/>
    <w:rsid w:val="00811B62"/>
    <w:rsid w:val="00814042"/>
    <w:rsid w:val="008142B0"/>
    <w:rsid w:val="008148FB"/>
    <w:rsid w:val="00814B27"/>
    <w:rsid w:val="00816B92"/>
    <w:rsid w:val="008222CC"/>
    <w:rsid w:val="00822C9D"/>
    <w:rsid w:val="00826B21"/>
    <w:rsid w:val="00830288"/>
    <w:rsid w:val="00830427"/>
    <w:rsid w:val="008304E6"/>
    <w:rsid w:val="00831C55"/>
    <w:rsid w:val="00832548"/>
    <w:rsid w:val="00833A78"/>
    <w:rsid w:val="00833C54"/>
    <w:rsid w:val="00835C35"/>
    <w:rsid w:val="00836412"/>
    <w:rsid w:val="0083717F"/>
    <w:rsid w:val="00837FBC"/>
    <w:rsid w:val="00842852"/>
    <w:rsid w:val="00847285"/>
    <w:rsid w:val="008508ED"/>
    <w:rsid w:val="00851864"/>
    <w:rsid w:val="00852FC8"/>
    <w:rsid w:val="00853BD2"/>
    <w:rsid w:val="00854FF9"/>
    <w:rsid w:val="00855923"/>
    <w:rsid w:val="008610C9"/>
    <w:rsid w:val="008612D3"/>
    <w:rsid w:val="0086180A"/>
    <w:rsid w:val="00861BB8"/>
    <w:rsid w:val="00865D97"/>
    <w:rsid w:val="00873954"/>
    <w:rsid w:val="00874FD9"/>
    <w:rsid w:val="00875B87"/>
    <w:rsid w:val="00877055"/>
    <w:rsid w:val="00882779"/>
    <w:rsid w:val="00883015"/>
    <w:rsid w:val="00884394"/>
    <w:rsid w:val="0088497F"/>
    <w:rsid w:val="00885754"/>
    <w:rsid w:val="00885AD4"/>
    <w:rsid w:val="00886754"/>
    <w:rsid w:val="00890ACE"/>
    <w:rsid w:val="00890DF3"/>
    <w:rsid w:val="00892E99"/>
    <w:rsid w:val="00894238"/>
    <w:rsid w:val="00894692"/>
    <w:rsid w:val="00895D5C"/>
    <w:rsid w:val="008A330B"/>
    <w:rsid w:val="008A33FA"/>
    <w:rsid w:val="008A359B"/>
    <w:rsid w:val="008A3BA9"/>
    <w:rsid w:val="008A58FB"/>
    <w:rsid w:val="008B001E"/>
    <w:rsid w:val="008B1BC8"/>
    <w:rsid w:val="008B457E"/>
    <w:rsid w:val="008B4766"/>
    <w:rsid w:val="008B6661"/>
    <w:rsid w:val="008B7E57"/>
    <w:rsid w:val="008B7FF6"/>
    <w:rsid w:val="008C09A2"/>
    <w:rsid w:val="008C31DE"/>
    <w:rsid w:val="008C32DC"/>
    <w:rsid w:val="008C5527"/>
    <w:rsid w:val="008C68B0"/>
    <w:rsid w:val="008D557C"/>
    <w:rsid w:val="008D5880"/>
    <w:rsid w:val="008D5D68"/>
    <w:rsid w:val="008E0AA4"/>
    <w:rsid w:val="008E1555"/>
    <w:rsid w:val="008E167E"/>
    <w:rsid w:val="008E1981"/>
    <w:rsid w:val="008E2F6A"/>
    <w:rsid w:val="008E4798"/>
    <w:rsid w:val="008E4BAB"/>
    <w:rsid w:val="008E50C5"/>
    <w:rsid w:val="008E536F"/>
    <w:rsid w:val="008E5F0B"/>
    <w:rsid w:val="008F2D4C"/>
    <w:rsid w:val="008F60CB"/>
    <w:rsid w:val="009024D3"/>
    <w:rsid w:val="00905022"/>
    <w:rsid w:val="00905A2F"/>
    <w:rsid w:val="00905E03"/>
    <w:rsid w:val="00906178"/>
    <w:rsid w:val="00906A36"/>
    <w:rsid w:val="00906E9E"/>
    <w:rsid w:val="00911A96"/>
    <w:rsid w:val="00911EAA"/>
    <w:rsid w:val="00911F78"/>
    <w:rsid w:val="00914576"/>
    <w:rsid w:val="00915352"/>
    <w:rsid w:val="00916EFA"/>
    <w:rsid w:val="00917E72"/>
    <w:rsid w:val="0092164F"/>
    <w:rsid w:val="0092550B"/>
    <w:rsid w:val="00926EC0"/>
    <w:rsid w:val="009273E3"/>
    <w:rsid w:val="0093003C"/>
    <w:rsid w:val="00930239"/>
    <w:rsid w:val="009319B8"/>
    <w:rsid w:val="009319C7"/>
    <w:rsid w:val="00931F20"/>
    <w:rsid w:val="0093226B"/>
    <w:rsid w:val="00934199"/>
    <w:rsid w:val="00935376"/>
    <w:rsid w:val="0093774B"/>
    <w:rsid w:val="0094056D"/>
    <w:rsid w:val="0094129C"/>
    <w:rsid w:val="009416E6"/>
    <w:rsid w:val="00941C08"/>
    <w:rsid w:val="00942018"/>
    <w:rsid w:val="00943007"/>
    <w:rsid w:val="00943F3C"/>
    <w:rsid w:val="00945455"/>
    <w:rsid w:val="009500DF"/>
    <w:rsid w:val="0095251E"/>
    <w:rsid w:val="0095459B"/>
    <w:rsid w:val="00955B2D"/>
    <w:rsid w:val="00963E77"/>
    <w:rsid w:val="009645A2"/>
    <w:rsid w:val="00964EAD"/>
    <w:rsid w:val="00966358"/>
    <w:rsid w:val="00966A5E"/>
    <w:rsid w:val="00967586"/>
    <w:rsid w:val="00967FAD"/>
    <w:rsid w:val="00971CB0"/>
    <w:rsid w:val="00972EAC"/>
    <w:rsid w:val="009736BC"/>
    <w:rsid w:val="00973E09"/>
    <w:rsid w:val="00974609"/>
    <w:rsid w:val="00975289"/>
    <w:rsid w:val="009758FF"/>
    <w:rsid w:val="00976180"/>
    <w:rsid w:val="00977542"/>
    <w:rsid w:val="009803CF"/>
    <w:rsid w:val="00981583"/>
    <w:rsid w:val="0098270A"/>
    <w:rsid w:val="00982A0C"/>
    <w:rsid w:val="0098533E"/>
    <w:rsid w:val="00985876"/>
    <w:rsid w:val="00986CE7"/>
    <w:rsid w:val="0099197A"/>
    <w:rsid w:val="009A6B57"/>
    <w:rsid w:val="009B10B4"/>
    <w:rsid w:val="009B41E4"/>
    <w:rsid w:val="009B6D39"/>
    <w:rsid w:val="009C2111"/>
    <w:rsid w:val="009C23B9"/>
    <w:rsid w:val="009C23EE"/>
    <w:rsid w:val="009C2ACC"/>
    <w:rsid w:val="009C332D"/>
    <w:rsid w:val="009C38B5"/>
    <w:rsid w:val="009C42A5"/>
    <w:rsid w:val="009C4D1A"/>
    <w:rsid w:val="009C513B"/>
    <w:rsid w:val="009C59E0"/>
    <w:rsid w:val="009C6102"/>
    <w:rsid w:val="009C7CD2"/>
    <w:rsid w:val="009C7DBB"/>
    <w:rsid w:val="009D116A"/>
    <w:rsid w:val="009D1989"/>
    <w:rsid w:val="009D36C2"/>
    <w:rsid w:val="009D4A99"/>
    <w:rsid w:val="009D7D93"/>
    <w:rsid w:val="009E0069"/>
    <w:rsid w:val="009E191C"/>
    <w:rsid w:val="009E41FE"/>
    <w:rsid w:val="009E45F1"/>
    <w:rsid w:val="009E5918"/>
    <w:rsid w:val="009E6412"/>
    <w:rsid w:val="009E6DC2"/>
    <w:rsid w:val="009E6FBA"/>
    <w:rsid w:val="009F0805"/>
    <w:rsid w:val="009F1B93"/>
    <w:rsid w:val="009F2553"/>
    <w:rsid w:val="009F2F86"/>
    <w:rsid w:val="009F3324"/>
    <w:rsid w:val="009F3926"/>
    <w:rsid w:val="009F3BF0"/>
    <w:rsid w:val="009F4CFC"/>
    <w:rsid w:val="009F50D4"/>
    <w:rsid w:val="009F5235"/>
    <w:rsid w:val="009F728C"/>
    <w:rsid w:val="00A00661"/>
    <w:rsid w:val="00A0423F"/>
    <w:rsid w:val="00A06BEE"/>
    <w:rsid w:val="00A06DA9"/>
    <w:rsid w:val="00A11188"/>
    <w:rsid w:val="00A12066"/>
    <w:rsid w:val="00A13C1E"/>
    <w:rsid w:val="00A14389"/>
    <w:rsid w:val="00A148AA"/>
    <w:rsid w:val="00A17034"/>
    <w:rsid w:val="00A204D5"/>
    <w:rsid w:val="00A250D9"/>
    <w:rsid w:val="00A25920"/>
    <w:rsid w:val="00A2734C"/>
    <w:rsid w:val="00A3028D"/>
    <w:rsid w:val="00A312FB"/>
    <w:rsid w:val="00A315F3"/>
    <w:rsid w:val="00A32A8A"/>
    <w:rsid w:val="00A338F0"/>
    <w:rsid w:val="00A33CC9"/>
    <w:rsid w:val="00A34F32"/>
    <w:rsid w:val="00A36D34"/>
    <w:rsid w:val="00A42042"/>
    <w:rsid w:val="00A428D1"/>
    <w:rsid w:val="00A4473C"/>
    <w:rsid w:val="00A44E9E"/>
    <w:rsid w:val="00A450F4"/>
    <w:rsid w:val="00A459BA"/>
    <w:rsid w:val="00A45DFB"/>
    <w:rsid w:val="00A45E12"/>
    <w:rsid w:val="00A46AD0"/>
    <w:rsid w:val="00A46BEA"/>
    <w:rsid w:val="00A477E7"/>
    <w:rsid w:val="00A47CC3"/>
    <w:rsid w:val="00A542D1"/>
    <w:rsid w:val="00A56AF1"/>
    <w:rsid w:val="00A60870"/>
    <w:rsid w:val="00A63A90"/>
    <w:rsid w:val="00A64EF0"/>
    <w:rsid w:val="00A65629"/>
    <w:rsid w:val="00A704C2"/>
    <w:rsid w:val="00A737BF"/>
    <w:rsid w:val="00A74BD7"/>
    <w:rsid w:val="00A763DE"/>
    <w:rsid w:val="00A769C9"/>
    <w:rsid w:val="00A81D58"/>
    <w:rsid w:val="00A82B1B"/>
    <w:rsid w:val="00A9145E"/>
    <w:rsid w:val="00A920CE"/>
    <w:rsid w:val="00A933FB"/>
    <w:rsid w:val="00A9367E"/>
    <w:rsid w:val="00A94134"/>
    <w:rsid w:val="00A94D75"/>
    <w:rsid w:val="00A95DA2"/>
    <w:rsid w:val="00AA40D7"/>
    <w:rsid w:val="00AA4485"/>
    <w:rsid w:val="00AA600D"/>
    <w:rsid w:val="00AB0563"/>
    <w:rsid w:val="00AB2603"/>
    <w:rsid w:val="00AB4C5E"/>
    <w:rsid w:val="00AB5EEA"/>
    <w:rsid w:val="00AC1334"/>
    <w:rsid w:val="00AC1D5D"/>
    <w:rsid w:val="00AC4EF3"/>
    <w:rsid w:val="00AC4F3E"/>
    <w:rsid w:val="00AC7283"/>
    <w:rsid w:val="00AD23D8"/>
    <w:rsid w:val="00AD27E3"/>
    <w:rsid w:val="00AD307E"/>
    <w:rsid w:val="00AD32D7"/>
    <w:rsid w:val="00AD3E9D"/>
    <w:rsid w:val="00AD523A"/>
    <w:rsid w:val="00AD6D1D"/>
    <w:rsid w:val="00AE00D8"/>
    <w:rsid w:val="00AE0ECA"/>
    <w:rsid w:val="00AE1615"/>
    <w:rsid w:val="00AE46A7"/>
    <w:rsid w:val="00AE5832"/>
    <w:rsid w:val="00AE5AD5"/>
    <w:rsid w:val="00AE6F0A"/>
    <w:rsid w:val="00AF00ED"/>
    <w:rsid w:val="00AF3380"/>
    <w:rsid w:val="00AF5EA2"/>
    <w:rsid w:val="00B00232"/>
    <w:rsid w:val="00B02AB9"/>
    <w:rsid w:val="00B04E53"/>
    <w:rsid w:val="00B05C63"/>
    <w:rsid w:val="00B05C69"/>
    <w:rsid w:val="00B05DCA"/>
    <w:rsid w:val="00B0662A"/>
    <w:rsid w:val="00B06900"/>
    <w:rsid w:val="00B06FD1"/>
    <w:rsid w:val="00B06FF2"/>
    <w:rsid w:val="00B11EE3"/>
    <w:rsid w:val="00B1261C"/>
    <w:rsid w:val="00B140EE"/>
    <w:rsid w:val="00B15508"/>
    <w:rsid w:val="00B1618C"/>
    <w:rsid w:val="00B20209"/>
    <w:rsid w:val="00B22052"/>
    <w:rsid w:val="00B23E66"/>
    <w:rsid w:val="00B265D6"/>
    <w:rsid w:val="00B2779D"/>
    <w:rsid w:val="00B327BF"/>
    <w:rsid w:val="00B32B72"/>
    <w:rsid w:val="00B34221"/>
    <w:rsid w:val="00B3633D"/>
    <w:rsid w:val="00B364CB"/>
    <w:rsid w:val="00B365CF"/>
    <w:rsid w:val="00B40A3F"/>
    <w:rsid w:val="00B41E03"/>
    <w:rsid w:val="00B41F40"/>
    <w:rsid w:val="00B451DB"/>
    <w:rsid w:val="00B456AB"/>
    <w:rsid w:val="00B52DF3"/>
    <w:rsid w:val="00B5466A"/>
    <w:rsid w:val="00B55D08"/>
    <w:rsid w:val="00B560B7"/>
    <w:rsid w:val="00B56A9F"/>
    <w:rsid w:val="00B56ECD"/>
    <w:rsid w:val="00B577F1"/>
    <w:rsid w:val="00B578C3"/>
    <w:rsid w:val="00B60686"/>
    <w:rsid w:val="00B60B2E"/>
    <w:rsid w:val="00B60CE5"/>
    <w:rsid w:val="00B63EBA"/>
    <w:rsid w:val="00B64818"/>
    <w:rsid w:val="00B66099"/>
    <w:rsid w:val="00B718F1"/>
    <w:rsid w:val="00B71D6C"/>
    <w:rsid w:val="00B7277B"/>
    <w:rsid w:val="00B72B5E"/>
    <w:rsid w:val="00B74F40"/>
    <w:rsid w:val="00B74FFC"/>
    <w:rsid w:val="00B76A0F"/>
    <w:rsid w:val="00B76D7C"/>
    <w:rsid w:val="00B8099A"/>
    <w:rsid w:val="00B8248C"/>
    <w:rsid w:val="00B825FB"/>
    <w:rsid w:val="00B83677"/>
    <w:rsid w:val="00B83806"/>
    <w:rsid w:val="00B853CB"/>
    <w:rsid w:val="00B85A46"/>
    <w:rsid w:val="00B85DE2"/>
    <w:rsid w:val="00B876B3"/>
    <w:rsid w:val="00B92FAC"/>
    <w:rsid w:val="00B95974"/>
    <w:rsid w:val="00B96BDA"/>
    <w:rsid w:val="00B96D82"/>
    <w:rsid w:val="00BA11DC"/>
    <w:rsid w:val="00BA5E89"/>
    <w:rsid w:val="00BB44A7"/>
    <w:rsid w:val="00BB55E3"/>
    <w:rsid w:val="00BB6501"/>
    <w:rsid w:val="00BC204C"/>
    <w:rsid w:val="00BC4224"/>
    <w:rsid w:val="00BC48A1"/>
    <w:rsid w:val="00BC5F68"/>
    <w:rsid w:val="00BE1A7A"/>
    <w:rsid w:val="00BE463B"/>
    <w:rsid w:val="00BE63A8"/>
    <w:rsid w:val="00BE695B"/>
    <w:rsid w:val="00BE6F19"/>
    <w:rsid w:val="00BE78B2"/>
    <w:rsid w:val="00BF0728"/>
    <w:rsid w:val="00BF0E8F"/>
    <w:rsid w:val="00BF3E54"/>
    <w:rsid w:val="00BF3F03"/>
    <w:rsid w:val="00BF40CD"/>
    <w:rsid w:val="00BF4A98"/>
    <w:rsid w:val="00BF5857"/>
    <w:rsid w:val="00BF7CBC"/>
    <w:rsid w:val="00C00993"/>
    <w:rsid w:val="00C01825"/>
    <w:rsid w:val="00C020BF"/>
    <w:rsid w:val="00C04F72"/>
    <w:rsid w:val="00C05316"/>
    <w:rsid w:val="00C06FA8"/>
    <w:rsid w:val="00C0751A"/>
    <w:rsid w:val="00C12403"/>
    <w:rsid w:val="00C1310A"/>
    <w:rsid w:val="00C1326F"/>
    <w:rsid w:val="00C153AC"/>
    <w:rsid w:val="00C15CD6"/>
    <w:rsid w:val="00C16637"/>
    <w:rsid w:val="00C16CED"/>
    <w:rsid w:val="00C16EE0"/>
    <w:rsid w:val="00C172D9"/>
    <w:rsid w:val="00C17919"/>
    <w:rsid w:val="00C2117E"/>
    <w:rsid w:val="00C2148A"/>
    <w:rsid w:val="00C21FE5"/>
    <w:rsid w:val="00C21FF8"/>
    <w:rsid w:val="00C2275E"/>
    <w:rsid w:val="00C2662F"/>
    <w:rsid w:val="00C279D5"/>
    <w:rsid w:val="00C35B4A"/>
    <w:rsid w:val="00C36EF4"/>
    <w:rsid w:val="00C402D3"/>
    <w:rsid w:val="00C40E35"/>
    <w:rsid w:val="00C41A43"/>
    <w:rsid w:val="00C43220"/>
    <w:rsid w:val="00C43D3C"/>
    <w:rsid w:val="00C43EF3"/>
    <w:rsid w:val="00C451E7"/>
    <w:rsid w:val="00C45723"/>
    <w:rsid w:val="00C459DA"/>
    <w:rsid w:val="00C461CA"/>
    <w:rsid w:val="00C47469"/>
    <w:rsid w:val="00C47639"/>
    <w:rsid w:val="00C47967"/>
    <w:rsid w:val="00C54209"/>
    <w:rsid w:val="00C5429D"/>
    <w:rsid w:val="00C545C6"/>
    <w:rsid w:val="00C54749"/>
    <w:rsid w:val="00C5621D"/>
    <w:rsid w:val="00C60898"/>
    <w:rsid w:val="00C72AA5"/>
    <w:rsid w:val="00C72B95"/>
    <w:rsid w:val="00C72E48"/>
    <w:rsid w:val="00C73B87"/>
    <w:rsid w:val="00C74331"/>
    <w:rsid w:val="00C80753"/>
    <w:rsid w:val="00C809AA"/>
    <w:rsid w:val="00C819D5"/>
    <w:rsid w:val="00C81F09"/>
    <w:rsid w:val="00C82295"/>
    <w:rsid w:val="00C83710"/>
    <w:rsid w:val="00C83D71"/>
    <w:rsid w:val="00C85A39"/>
    <w:rsid w:val="00C85EE6"/>
    <w:rsid w:val="00C86F8B"/>
    <w:rsid w:val="00C90E8F"/>
    <w:rsid w:val="00C929AE"/>
    <w:rsid w:val="00C9360C"/>
    <w:rsid w:val="00C9651C"/>
    <w:rsid w:val="00CA18C7"/>
    <w:rsid w:val="00CA1A53"/>
    <w:rsid w:val="00CA26E1"/>
    <w:rsid w:val="00CA329F"/>
    <w:rsid w:val="00CA5FDF"/>
    <w:rsid w:val="00CA6383"/>
    <w:rsid w:val="00CA7748"/>
    <w:rsid w:val="00CB0188"/>
    <w:rsid w:val="00CB0F7A"/>
    <w:rsid w:val="00CB2E49"/>
    <w:rsid w:val="00CB333C"/>
    <w:rsid w:val="00CB45FF"/>
    <w:rsid w:val="00CB4EB1"/>
    <w:rsid w:val="00CB5080"/>
    <w:rsid w:val="00CC01A5"/>
    <w:rsid w:val="00CC2EF7"/>
    <w:rsid w:val="00CC4CBE"/>
    <w:rsid w:val="00CC5F8D"/>
    <w:rsid w:val="00CC689B"/>
    <w:rsid w:val="00CC71F4"/>
    <w:rsid w:val="00CC7CB8"/>
    <w:rsid w:val="00CD0285"/>
    <w:rsid w:val="00CD0802"/>
    <w:rsid w:val="00CD2A94"/>
    <w:rsid w:val="00CD6885"/>
    <w:rsid w:val="00CD7F1D"/>
    <w:rsid w:val="00CE269A"/>
    <w:rsid w:val="00CE4556"/>
    <w:rsid w:val="00CE4C24"/>
    <w:rsid w:val="00CE52FB"/>
    <w:rsid w:val="00CE6E4E"/>
    <w:rsid w:val="00CE7830"/>
    <w:rsid w:val="00CF0C80"/>
    <w:rsid w:val="00CF12C7"/>
    <w:rsid w:val="00CF29DC"/>
    <w:rsid w:val="00CF33DC"/>
    <w:rsid w:val="00CF3B98"/>
    <w:rsid w:val="00D02BD8"/>
    <w:rsid w:val="00D0305D"/>
    <w:rsid w:val="00D04CD7"/>
    <w:rsid w:val="00D05073"/>
    <w:rsid w:val="00D05447"/>
    <w:rsid w:val="00D078D3"/>
    <w:rsid w:val="00D124F8"/>
    <w:rsid w:val="00D14EF2"/>
    <w:rsid w:val="00D154B5"/>
    <w:rsid w:val="00D157CB"/>
    <w:rsid w:val="00D208A3"/>
    <w:rsid w:val="00D20AB8"/>
    <w:rsid w:val="00D2554F"/>
    <w:rsid w:val="00D25CFA"/>
    <w:rsid w:val="00D25DDB"/>
    <w:rsid w:val="00D26680"/>
    <w:rsid w:val="00D3387A"/>
    <w:rsid w:val="00D34814"/>
    <w:rsid w:val="00D35AD3"/>
    <w:rsid w:val="00D40FA8"/>
    <w:rsid w:val="00D511A5"/>
    <w:rsid w:val="00D518D6"/>
    <w:rsid w:val="00D528E2"/>
    <w:rsid w:val="00D55420"/>
    <w:rsid w:val="00D56E1D"/>
    <w:rsid w:val="00D57D29"/>
    <w:rsid w:val="00D6011B"/>
    <w:rsid w:val="00D619E4"/>
    <w:rsid w:val="00D61DB0"/>
    <w:rsid w:val="00D624D3"/>
    <w:rsid w:val="00D627EA"/>
    <w:rsid w:val="00D62B62"/>
    <w:rsid w:val="00D63BFA"/>
    <w:rsid w:val="00D63CDE"/>
    <w:rsid w:val="00D63E1B"/>
    <w:rsid w:val="00D64FCD"/>
    <w:rsid w:val="00D66159"/>
    <w:rsid w:val="00D67A2A"/>
    <w:rsid w:val="00D67EBC"/>
    <w:rsid w:val="00D72E7C"/>
    <w:rsid w:val="00D73177"/>
    <w:rsid w:val="00D73810"/>
    <w:rsid w:val="00D738A8"/>
    <w:rsid w:val="00D74496"/>
    <w:rsid w:val="00D75C75"/>
    <w:rsid w:val="00D7682B"/>
    <w:rsid w:val="00D77CB6"/>
    <w:rsid w:val="00D805D9"/>
    <w:rsid w:val="00D8304F"/>
    <w:rsid w:val="00D84F3A"/>
    <w:rsid w:val="00D865E9"/>
    <w:rsid w:val="00D874F1"/>
    <w:rsid w:val="00D87CC8"/>
    <w:rsid w:val="00D92D6F"/>
    <w:rsid w:val="00D97090"/>
    <w:rsid w:val="00DA04D3"/>
    <w:rsid w:val="00DA378A"/>
    <w:rsid w:val="00DA74E6"/>
    <w:rsid w:val="00DB02D4"/>
    <w:rsid w:val="00DB08A8"/>
    <w:rsid w:val="00DB0C19"/>
    <w:rsid w:val="00DB60AE"/>
    <w:rsid w:val="00DB76BE"/>
    <w:rsid w:val="00DB793D"/>
    <w:rsid w:val="00DC13D1"/>
    <w:rsid w:val="00DC1A8F"/>
    <w:rsid w:val="00DC245B"/>
    <w:rsid w:val="00DC2D89"/>
    <w:rsid w:val="00DC318E"/>
    <w:rsid w:val="00DC6E4C"/>
    <w:rsid w:val="00DC7C36"/>
    <w:rsid w:val="00DD2393"/>
    <w:rsid w:val="00DD2A7C"/>
    <w:rsid w:val="00DD3963"/>
    <w:rsid w:val="00DD39C4"/>
    <w:rsid w:val="00DE074B"/>
    <w:rsid w:val="00DE0A37"/>
    <w:rsid w:val="00DE16DE"/>
    <w:rsid w:val="00DE4959"/>
    <w:rsid w:val="00DE66DF"/>
    <w:rsid w:val="00DF0932"/>
    <w:rsid w:val="00DF253A"/>
    <w:rsid w:val="00DF2AC8"/>
    <w:rsid w:val="00DF5665"/>
    <w:rsid w:val="00DF6C0E"/>
    <w:rsid w:val="00E00059"/>
    <w:rsid w:val="00E01FF4"/>
    <w:rsid w:val="00E0271D"/>
    <w:rsid w:val="00E04BB6"/>
    <w:rsid w:val="00E07657"/>
    <w:rsid w:val="00E122C3"/>
    <w:rsid w:val="00E123C0"/>
    <w:rsid w:val="00E13B9A"/>
    <w:rsid w:val="00E13CAD"/>
    <w:rsid w:val="00E13E3C"/>
    <w:rsid w:val="00E14A94"/>
    <w:rsid w:val="00E14E62"/>
    <w:rsid w:val="00E15ACF"/>
    <w:rsid w:val="00E15DA8"/>
    <w:rsid w:val="00E1622B"/>
    <w:rsid w:val="00E2114F"/>
    <w:rsid w:val="00E21D98"/>
    <w:rsid w:val="00E2371A"/>
    <w:rsid w:val="00E245BA"/>
    <w:rsid w:val="00E307D8"/>
    <w:rsid w:val="00E30AE9"/>
    <w:rsid w:val="00E30EAC"/>
    <w:rsid w:val="00E31F20"/>
    <w:rsid w:val="00E32FF3"/>
    <w:rsid w:val="00E34590"/>
    <w:rsid w:val="00E406F8"/>
    <w:rsid w:val="00E40726"/>
    <w:rsid w:val="00E41E50"/>
    <w:rsid w:val="00E45F1D"/>
    <w:rsid w:val="00E46B48"/>
    <w:rsid w:val="00E46BB7"/>
    <w:rsid w:val="00E47776"/>
    <w:rsid w:val="00E526DA"/>
    <w:rsid w:val="00E541B7"/>
    <w:rsid w:val="00E55491"/>
    <w:rsid w:val="00E616DF"/>
    <w:rsid w:val="00E62528"/>
    <w:rsid w:val="00E625D7"/>
    <w:rsid w:val="00E67E63"/>
    <w:rsid w:val="00E719FF"/>
    <w:rsid w:val="00E71B17"/>
    <w:rsid w:val="00E72506"/>
    <w:rsid w:val="00E733FD"/>
    <w:rsid w:val="00E8269F"/>
    <w:rsid w:val="00E86E9E"/>
    <w:rsid w:val="00E87F2F"/>
    <w:rsid w:val="00E87F8E"/>
    <w:rsid w:val="00E91A7F"/>
    <w:rsid w:val="00E91AF4"/>
    <w:rsid w:val="00E92333"/>
    <w:rsid w:val="00E929E6"/>
    <w:rsid w:val="00E93D20"/>
    <w:rsid w:val="00E94063"/>
    <w:rsid w:val="00E94130"/>
    <w:rsid w:val="00EA0AE7"/>
    <w:rsid w:val="00EA195B"/>
    <w:rsid w:val="00EA4736"/>
    <w:rsid w:val="00EA4E3C"/>
    <w:rsid w:val="00EB1B6C"/>
    <w:rsid w:val="00EB2919"/>
    <w:rsid w:val="00EB312D"/>
    <w:rsid w:val="00EB3E9E"/>
    <w:rsid w:val="00EB6AAE"/>
    <w:rsid w:val="00EC05A6"/>
    <w:rsid w:val="00EC1366"/>
    <w:rsid w:val="00EC5CAA"/>
    <w:rsid w:val="00ED1C23"/>
    <w:rsid w:val="00ED3BAC"/>
    <w:rsid w:val="00ED3D46"/>
    <w:rsid w:val="00ED5453"/>
    <w:rsid w:val="00ED57A9"/>
    <w:rsid w:val="00ED5CF1"/>
    <w:rsid w:val="00ED6116"/>
    <w:rsid w:val="00ED6205"/>
    <w:rsid w:val="00EE0DFC"/>
    <w:rsid w:val="00EE3988"/>
    <w:rsid w:val="00EE4622"/>
    <w:rsid w:val="00EE77A3"/>
    <w:rsid w:val="00EF0937"/>
    <w:rsid w:val="00EF2472"/>
    <w:rsid w:val="00EF2C48"/>
    <w:rsid w:val="00EF6A79"/>
    <w:rsid w:val="00EF6B4C"/>
    <w:rsid w:val="00EF70CF"/>
    <w:rsid w:val="00F010C3"/>
    <w:rsid w:val="00F01778"/>
    <w:rsid w:val="00F07F99"/>
    <w:rsid w:val="00F10673"/>
    <w:rsid w:val="00F10F22"/>
    <w:rsid w:val="00F12214"/>
    <w:rsid w:val="00F139C6"/>
    <w:rsid w:val="00F15DC9"/>
    <w:rsid w:val="00F16955"/>
    <w:rsid w:val="00F20C9F"/>
    <w:rsid w:val="00F23450"/>
    <w:rsid w:val="00F23ADF"/>
    <w:rsid w:val="00F2493C"/>
    <w:rsid w:val="00F255F0"/>
    <w:rsid w:val="00F25B4E"/>
    <w:rsid w:val="00F26363"/>
    <w:rsid w:val="00F26D67"/>
    <w:rsid w:val="00F26DE5"/>
    <w:rsid w:val="00F26FEF"/>
    <w:rsid w:val="00F27A14"/>
    <w:rsid w:val="00F27E46"/>
    <w:rsid w:val="00F31746"/>
    <w:rsid w:val="00F31786"/>
    <w:rsid w:val="00F32299"/>
    <w:rsid w:val="00F325A8"/>
    <w:rsid w:val="00F3297E"/>
    <w:rsid w:val="00F32B6B"/>
    <w:rsid w:val="00F33467"/>
    <w:rsid w:val="00F34665"/>
    <w:rsid w:val="00F37DB7"/>
    <w:rsid w:val="00F41332"/>
    <w:rsid w:val="00F41804"/>
    <w:rsid w:val="00F42F78"/>
    <w:rsid w:val="00F4474D"/>
    <w:rsid w:val="00F4546E"/>
    <w:rsid w:val="00F45E94"/>
    <w:rsid w:val="00F47474"/>
    <w:rsid w:val="00F50C15"/>
    <w:rsid w:val="00F5455D"/>
    <w:rsid w:val="00F54AF9"/>
    <w:rsid w:val="00F54C26"/>
    <w:rsid w:val="00F55EF5"/>
    <w:rsid w:val="00F563C9"/>
    <w:rsid w:val="00F5719B"/>
    <w:rsid w:val="00F600C9"/>
    <w:rsid w:val="00F609AA"/>
    <w:rsid w:val="00F61060"/>
    <w:rsid w:val="00F61FAD"/>
    <w:rsid w:val="00F631F8"/>
    <w:rsid w:val="00F63866"/>
    <w:rsid w:val="00F63E31"/>
    <w:rsid w:val="00F64450"/>
    <w:rsid w:val="00F64A11"/>
    <w:rsid w:val="00F651E6"/>
    <w:rsid w:val="00F71C7D"/>
    <w:rsid w:val="00F71FE1"/>
    <w:rsid w:val="00F72FBB"/>
    <w:rsid w:val="00F7314E"/>
    <w:rsid w:val="00F74C61"/>
    <w:rsid w:val="00F76395"/>
    <w:rsid w:val="00F77E33"/>
    <w:rsid w:val="00F80AED"/>
    <w:rsid w:val="00F8162E"/>
    <w:rsid w:val="00F833BD"/>
    <w:rsid w:val="00F84CEC"/>
    <w:rsid w:val="00F85463"/>
    <w:rsid w:val="00F8787D"/>
    <w:rsid w:val="00F91FB6"/>
    <w:rsid w:val="00F92A05"/>
    <w:rsid w:val="00F92AEE"/>
    <w:rsid w:val="00F94847"/>
    <w:rsid w:val="00F969E9"/>
    <w:rsid w:val="00F969EF"/>
    <w:rsid w:val="00FA13F0"/>
    <w:rsid w:val="00FA3C50"/>
    <w:rsid w:val="00FA42AF"/>
    <w:rsid w:val="00FA67B5"/>
    <w:rsid w:val="00FA78DA"/>
    <w:rsid w:val="00FB3BED"/>
    <w:rsid w:val="00FB4B0F"/>
    <w:rsid w:val="00FB5368"/>
    <w:rsid w:val="00FB5A6A"/>
    <w:rsid w:val="00FB6BBC"/>
    <w:rsid w:val="00FB6CA4"/>
    <w:rsid w:val="00FB6CBD"/>
    <w:rsid w:val="00FB7D1B"/>
    <w:rsid w:val="00FB7F34"/>
    <w:rsid w:val="00FC4230"/>
    <w:rsid w:val="00FC62BF"/>
    <w:rsid w:val="00FD0376"/>
    <w:rsid w:val="00FD0F64"/>
    <w:rsid w:val="00FD109B"/>
    <w:rsid w:val="00FD20B0"/>
    <w:rsid w:val="00FD63C4"/>
    <w:rsid w:val="00FD7C58"/>
    <w:rsid w:val="00FE12CF"/>
    <w:rsid w:val="00FE2BF0"/>
    <w:rsid w:val="00FE3D31"/>
    <w:rsid w:val="00FE4722"/>
    <w:rsid w:val="00FE5F73"/>
    <w:rsid w:val="00FE63BF"/>
    <w:rsid w:val="00FE69C2"/>
    <w:rsid w:val="00FE7FB2"/>
    <w:rsid w:val="00FF0AE8"/>
    <w:rsid w:val="00FF1BD9"/>
    <w:rsid w:val="00FF4B24"/>
    <w:rsid w:val="00FF6BE1"/>
    <w:rsid w:val="00FF6EA2"/>
    <w:rsid w:val="012846D8"/>
    <w:rsid w:val="012D0FFA"/>
    <w:rsid w:val="013B2E3F"/>
    <w:rsid w:val="014B0BE6"/>
    <w:rsid w:val="015F7851"/>
    <w:rsid w:val="01626121"/>
    <w:rsid w:val="019E4064"/>
    <w:rsid w:val="01B15C5D"/>
    <w:rsid w:val="02017A8E"/>
    <w:rsid w:val="020744DC"/>
    <w:rsid w:val="021314F7"/>
    <w:rsid w:val="02832ACB"/>
    <w:rsid w:val="02FC09FF"/>
    <w:rsid w:val="03050B72"/>
    <w:rsid w:val="031A6028"/>
    <w:rsid w:val="036945F3"/>
    <w:rsid w:val="03787599"/>
    <w:rsid w:val="039C6DB9"/>
    <w:rsid w:val="040D0335"/>
    <w:rsid w:val="045F6373"/>
    <w:rsid w:val="05467FF6"/>
    <w:rsid w:val="05740FCC"/>
    <w:rsid w:val="05935DA7"/>
    <w:rsid w:val="06090130"/>
    <w:rsid w:val="064B458C"/>
    <w:rsid w:val="06D779B2"/>
    <w:rsid w:val="07165D3B"/>
    <w:rsid w:val="076F15B3"/>
    <w:rsid w:val="077B303B"/>
    <w:rsid w:val="078367A0"/>
    <w:rsid w:val="07C30F82"/>
    <w:rsid w:val="080A2AE8"/>
    <w:rsid w:val="08317695"/>
    <w:rsid w:val="08476E2B"/>
    <w:rsid w:val="084D5707"/>
    <w:rsid w:val="08770B00"/>
    <w:rsid w:val="09271CBC"/>
    <w:rsid w:val="0930445C"/>
    <w:rsid w:val="09AB5507"/>
    <w:rsid w:val="0A1F17BA"/>
    <w:rsid w:val="0A5D422D"/>
    <w:rsid w:val="0A5F31A6"/>
    <w:rsid w:val="0AA40E8C"/>
    <w:rsid w:val="0B113383"/>
    <w:rsid w:val="0B5873D0"/>
    <w:rsid w:val="0BD94FAD"/>
    <w:rsid w:val="0C1D07FB"/>
    <w:rsid w:val="0C582960"/>
    <w:rsid w:val="0C9F4428"/>
    <w:rsid w:val="0D2F0029"/>
    <w:rsid w:val="0D303AB3"/>
    <w:rsid w:val="0D4665C8"/>
    <w:rsid w:val="0DCE572D"/>
    <w:rsid w:val="0DF05CE5"/>
    <w:rsid w:val="0EBC19EF"/>
    <w:rsid w:val="0EC70811"/>
    <w:rsid w:val="0F980109"/>
    <w:rsid w:val="0FB95885"/>
    <w:rsid w:val="10031D4E"/>
    <w:rsid w:val="100B0C4E"/>
    <w:rsid w:val="106A11CF"/>
    <w:rsid w:val="107472C3"/>
    <w:rsid w:val="10B028F0"/>
    <w:rsid w:val="1114610C"/>
    <w:rsid w:val="11411C0F"/>
    <w:rsid w:val="115A4D44"/>
    <w:rsid w:val="115D2CF4"/>
    <w:rsid w:val="12276A1D"/>
    <w:rsid w:val="12583904"/>
    <w:rsid w:val="12C65403"/>
    <w:rsid w:val="12CA39B9"/>
    <w:rsid w:val="12D309D6"/>
    <w:rsid w:val="130101A8"/>
    <w:rsid w:val="133327BE"/>
    <w:rsid w:val="135E0233"/>
    <w:rsid w:val="13722EB7"/>
    <w:rsid w:val="13E73B01"/>
    <w:rsid w:val="13E81324"/>
    <w:rsid w:val="14125971"/>
    <w:rsid w:val="144C0C32"/>
    <w:rsid w:val="151E300B"/>
    <w:rsid w:val="15762295"/>
    <w:rsid w:val="15CA5266"/>
    <w:rsid w:val="16670431"/>
    <w:rsid w:val="16740731"/>
    <w:rsid w:val="16991421"/>
    <w:rsid w:val="16B4272E"/>
    <w:rsid w:val="16FC5830"/>
    <w:rsid w:val="174E54EF"/>
    <w:rsid w:val="178D6360"/>
    <w:rsid w:val="17D03F30"/>
    <w:rsid w:val="180A12AA"/>
    <w:rsid w:val="182D5476"/>
    <w:rsid w:val="18B90B18"/>
    <w:rsid w:val="18C278F4"/>
    <w:rsid w:val="1A825195"/>
    <w:rsid w:val="1AB5329E"/>
    <w:rsid w:val="1ABA74BF"/>
    <w:rsid w:val="1ACF3B45"/>
    <w:rsid w:val="1B063751"/>
    <w:rsid w:val="1B5F1070"/>
    <w:rsid w:val="1B85597B"/>
    <w:rsid w:val="1BDC466C"/>
    <w:rsid w:val="1C5F1DB1"/>
    <w:rsid w:val="1C964D23"/>
    <w:rsid w:val="1D543802"/>
    <w:rsid w:val="1D680054"/>
    <w:rsid w:val="1D8A21DA"/>
    <w:rsid w:val="1DF71ADA"/>
    <w:rsid w:val="1E67478B"/>
    <w:rsid w:val="1EA448D7"/>
    <w:rsid w:val="1FBB1DAB"/>
    <w:rsid w:val="1FC576CE"/>
    <w:rsid w:val="202475DB"/>
    <w:rsid w:val="20AD3468"/>
    <w:rsid w:val="21140409"/>
    <w:rsid w:val="21BB164A"/>
    <w:rsid w:val="21C51491"/>
    <w:rsid w:val="227229C3"/>
    <w:rsid w:val="22BB795B"/>
    <w:rsid w:val="22C26A67"/>
    <w:rsid w:val="22FE285C"/>
    <w:rsid w:val="231B3AD9"/>
    <w:rsid w:val="233B010D"/>
    <w:rsid w:val="23731724"/>
    <w:rsid w:val="238622B5"/>
    <w:rsid w:val="2396570C"/>
    <w:rsid w:val="23B34CB5"/>
    <w:rsid w:val="23C25033"/>
    <w:rsid w:val="2444190F"/>
    <w:rsid w:val="24954008"/>
    <w:rsid w:val="24AE49E2"/>
    <w:rsid w:val="24CA6082"/>
    <w:rsid w:val="25172323"/>
    <w:rsid w:val="25346719"/>
    <w:rsid w:val="25C93168"/>
    <w:rsid w:val="25F56761"/>
    <w:rsid w:val="25FA28DD"/>
    <w:rsid w:val="265231AF"/>
    <w:rsid w:val="266D5DCA"/>
    <w:rsid w:val="26B15637"/>
    <w:rsid w:val="270C164E"/>
    <w:rsid w:val="279853C8"/>
    <w:rsid w:val="279F538D"/>
    <w:rsid w:val="27B0389A"/>
    <w:rsid w:val="28144F97"/>
    <w:rsid w:val="282E241E"/>
    <w:rsid w:val="288269C7"/>
    <w:rsid w:val="288B29CC"/>
    <w:rsid w:val="28D6549D"/>
    <w:rsid w:val="291A63F8"/>
    <w:rsid w:val="293E47EA"/>
    <w:rsid w:val="2A816827"/>
    <w:rsid w:val="2AAF2690"/>
    <w:rsid w:val="2B1F1D8F"/>
    <w:rsid w:val="2B2532E2"/>
    <w:rsid w:val="2B925765"/>
    <w:rsid w:val="2B9E38A5"/>
    <w:rsid w:val="2C3407D8"/>
    <w:rsid w:val="2D0966E4"/>
    <w:rsid w:val="2D0A2CF5"/>
    <w:rsid w:val="2D3D04FC"/>
    <w:rsid w:val="2D8F22BD"/>
    <w:rsid w:val="2DB3099D"/>
    <w:rsid w:val="2DC00607"/>
    <w:rsid w:val="2DCD1227"/>
    <w:rsid w:val="2E035E85"/>
    <w:rsid w:val="2E084AB8"/>
    <w:rsid w:val="2E1B432D"/>
    <w:rsid w:val="2E57418E"/>
    <w:rsid w:val="2F4D72CA"/>
    <w:rsid w:val="2F6977FF"/>
    <w:rsid w:val="2FB17E84"/>
    <w:rsid w:val="2FF37499"/>
    <w:rsid w:val="30350DD7"/>
    <w:rsid w:val="31597A76"/>
    <w:rsid w:val="31C55AF8"/>
    <w:rsid w:val="31D343A9"/>
    <w:rsid w:val="320809E3"/>
    <w:rsid w:val="3247025C"/>
    <w:rsid w:val="324719E7"/>
    <w:rsid w:val="32BD1F8F"/>
    <w:rsid w:val="330016DF"/>
    <w:rsid w:val="33644DE5"/>
    <w:rsid w:val="33DC2F58"/>
    <w:rsid w:val="33FC67E5"/>
    <w:rsid w:val="34060719"/>
    <w:rsid w:val="34567C6E"/>
    <w:rsid w:val="34675AC2"/>
    <w:rsid w:val="347E4A8C"/>
    <w:rsid w:val="34A96C2A"/>
    <w:rsid w:val="353F6DDB"/>
    <w:rsid w:val="35417BBC"/>
    <w:rsid w:val="354A7F25"/>
    <w:rsid w:val="35A10993"/>
    <w:rsid w:val="35E05EC8"/>
    <w:rsid w:val="35F15461"/>
    <w:rsid w:val="367F52C4"/>
    <w:rsid w:val="3717108D"/>
    <w:rsid w:val="37740412"/>
    <w:rsid w:val="37CB0684"/>
    <w:rsid w:val="37D558F0"/>
    <w:rsid w:val="38333AD5"/>
    <w:rsid w:val="38626BF4"/>
    <w:rsid w:val="38CD4E0E"/>
    <w:rsid w:val="38D3376B"/>
    <w:rsid w:val="38E160E6"/>
    <w:rsid w:val="393D1A5D"/>
    <w:rsid w:val="396035CF"/>
    <w:rsid w:val="39772D9A"/>
    <w:rsid w:val="39D64FCD"/>
    <w:rsid w:val="39DC0FE7"/>
    <w:rsid w:val="39F42AA0"/>
    <w:rsid w:val="3A612260"/>
    <w:rsid w:val="3A757C70"/>
    <w:rsid w:val="3A7A680D"/>
    <w:rsid w:val="3A974588"/>
    <w:rsid w:val="3B3F73F1"/>
    <w:rsid w:val="3C021194"/>
    <w:rsid w:val="3CAB4713"/>
    <w:rsid w:val="3CB72064"/>
    <w:rsid w:val="3CED0714"/>
    <w:rsid w:val="3CFA2848"/>
    <w:rsid w:val="3D4224E4"/>
    <w:rsid w:val="3D453205"/>
    <w:rsid w:val="3D7B210C"/>
    <w:rsid w:val="3D9F49AA"/>
    <w:rsid w:val="3E3617AC"/>
    <w:rsid w:val="3EB367AF"/>
    <w:rsid w:val="3EBA5695"/>
    <w:rsid w:val="3F04176E"/>
    <w:rsid w:val="3F331700"/>
    <w:rsid w:val="3FA654F7"/>
    <w:rsid w:val="3FCF2018"/>
    <w:rsid w:val="3FED4BD8"/>
    <w:rsid w:val="401C20C8"/>
    <w:rsid w:val="4060768A"/>
    <w:rsid w:val="40B8594F"/>
    <w:rsid w:val="40BC64B7"/>
    <w:rsid w:val="40C7593B"/>
    <w:rsid w:val="40CB35A6"/>
    <w:rsid w:val="40EA2E0F"/>
    <w:rsid w:val="411841CB"/>
    <w:rsid w:val="416531E3"/>
    <w:rsid w:val="41E1043F"/>
    <w:rsid w:val="42094A8B"/>
    <w:rsid w:val="424D0A4B"/>
    <w:rsid w:val="433E41B2"/>
    <w:rsid w:val="43AD3A4A"/>
    <w:rsid w:val="43C61DC7"/>
    <w:rsid w:val="441D49E7"/>
    <w:rsid w:val="441E194B"/>
    <w:rsid w:val="449E176F"/>
    <w:rsid w:val="44A741FB"/>
    <w:rsid w:val="44D20072"/>
    <w:rsid w:val="44FE3727"/>
    <w:rsid w:val="45562D2A"/>
    <w:rsid w:val="45905553"/>
    <w:rsid w:val="45980D5C"/>
    <w:rsid w:val="45B21D18"/>
    <w:rsid w:val="46084EAA"/>
    <w:rsid w:val="461F1BF1"/>
    <w:rsid w:val="46516938"/>
    <w:rsid w:val="468C05AD"/>
    <w:rsid w:val="470A569F"/>
    <w:rsid w:val="47102A7D"/>
    <w:rsid w:val="47115ED9"/>
    <w:rsid w:val="471A533C"/>
    <w:rsid w:val="472A04EB"/>
    <w:rsid w:val="47314704"/>
    <w:rsid w:val="47565F91"/>
    <w:rsid w:val="47D26593"/>
    <w:rsid w:val="4801676D"/>
    <w:rsid w:val="48190C8B"/>
    <w:rsid w:val="4841104D"/>
    <w:rsid w:val="484D0086"/>
    <w:rsid w:val="48633D61"/>
    <w:rsid w:val="48C061D1"/>
    <w:rsid w:val="48CD21EB"/>
    <w:rsid w:val="48FD1E95"/>
    <w:rsid w:val="49327800"/>
    <w:rsid w:val="49760D86"/>
    <w:rsid w:val="498573C8"/>
    <w:rsid w:val="49D60F8F"/>
    <w:rsid w:val="4A25566A"/>
    <w:rsid w:val="4A730D31"/>
    <w:rsid w:val="4AD137C5"/>
    <w:rsid w:val="4AE60613"/>
    <w:rsid w:val="4AEC1B5A"/>
    <w:rsid w:val="4B254F91"/>
    <w:rsid w:val="4B973B66"/>
    <w:rsid w:val="4BD45F4A"/>
    <w:rsid w:val="4C5B58EB"/>
    <w:rsid w:val="4C8A0E1F"/>
    <w:rsid w:val="4CA2456F"/>
    <w:rsid w:val="4CBC45AF"/>
    <w:rsid w:val="4D7C40A9"/>
    <w:rsid w:val="4D8B25E9"/>
    <w:rsid w:val="4DAE13C2"/>
    <w:rsid w:val="4DB84F9F"/>
    <w:rsid w:val="4DC7506D"/>
    <w:rsid w:val="4E0C7BB6"/>
    <w:rsid w:val="4E71492A"/>
    <w:rsid w:val="4E720240"/>
    <w:rsid w:val="4EDF1A93"/>
    <w:rsid w:val="4F123626"/>
    <w:rsid w:val="4F143B1B"/>
    <w:rsid w:val="4F344EEF"/>
    <w:rsid w:val="4F8431AB"/>
    <w:rsid w:val="4F8A5AAC"/>
    <w:rsid w:val="4FEE16EB"/>
    <w:rsid w:val="4FF56CD1"/>
    <w:rsid w:val="50A7105A"/>
    <w:rsid w:val="50BA21FA"/>
    <w:rsid w:val="50DF06E4"/>
    <w:rsid w:val="50EF5A93"/>
    <w:rsid w:val="511C16C4"/>
    <w:rsid w:val="516236F1"/>
    <w:rsid w:val="51633CF5"/>
    <w:rsid w:val="51CC3FBF"/>
    <w:rsid w:val="52140427"/>
    <w:rsid w:val="528E2D1D"/>
    <w:rsid w:val="52E773DC"/>
    <w:rsid w:val="537E5095"/>
    <w:rsid w:val="53D835D2"/>
    <w:rsid w:val="543039DB"/>
    <w:rsid w:val="54507846"/>
    <w:rsid w:val="545D3349"/>
    <w:rsid w:val="548764FB"/>
    <w:rsid w:val="554A1340"/>
    <w:rsid w:val="555A732C"/>
    <w:rsid w:val="55850E58"/>
    <w:rsid w:val="55951927"/>
    <w:rsid w:val="55B33B8A"/>
    <w:rsid w:val="55BE4F2D"/>
    <w:rsid w:val="55F344F8"/>
    <w:rsid w:val="55FB7D38"/>
    <w:rsid w:val="566D38D9"/>
    <w:rsid w:val="56885B12"/>
    <w:rsid w:val="56926A36"/>
    <w:rsid w:val="56BF7790"/>
    <w:rsid w:val="57041042"/>
    <w:rsid w:val="577D4CD1"/>
    <w:rsid w:val="581B4A03"/>
    <w:rsid w:val="59893758"/>
    <w:rsid w:val="59E461DE"/>
    <w:rsid w:val="59EF3EFC"/>
    <w:rsid w:val="5A864BD5"/>
    <w:rsid w:val="5A9B448C"/>
    <w:rsid w:val="5AC37758"/>
    <w:rsid w:val="5AE96B14"/>
    <w:rsid w:val="5AF37441"/>
    <w:rsid w:val="5B294964"/>
    <w:rsid w:val="5B92762C"/>
    <w:rsid w:val="5BB74CB0"/>
    <w:rsid w:val="5BCF2A6C"/>
    <w:rsid w:val="5CCF71CC"/>
    <w:rsid w:val="5D4F0ADB"/>
    <w:rsid w:val="5DB7157B"/>
    <w:rsid w:val="5DCA63A0"/>
    <w:rsid w:val="5DDA2C49"/>
    <w:rsid w:val="5E0D6F29"/>
    <w:rsid w:val="5E0F4C25"/>
    <w:rsid w:val="5EF546C6"/>
    <w:rsid w:val="5F401EA9"/>
    <w:rsid w:val="60C918C2"/>
    <w:rsid w:val="614D6F38"/>
    <w:rsid w:val="61BA7D4E"/>
    <w:rsid w:val="61DB07A2"/>
    <w:rsid w:val="61F91A4E"/>
    <w:rsid w:val="628E1C1B"/>
    <w:rsid w:val="62B23076"/>
    <w:rsid w:val="630E6980"/>
    <w:rsid w:val="63413B41"/>
    <w:rsid w:val="635D7F0C"/>
    <w:rsid w:val="63635094"/>
    <w:rsid w:val="63B04556"/>
    <w:rsid w:val="63F612DC"/>
    <w:rsid w:val="64185694"/>
    <w:rsid w:val="64307FB0"/>
    <w:rsid w:val="645B60F5"/>
    <w:rsid w:val="64C379B6"/>
    <w:rsid w:val="653028DC"/>
    <w:rsid w:val="65921F33"/>
    <w:rsid w:val="65A05003"/>
    <w:rsid w:val="65D04FCC"/>
    <w:rsid w:val="665B71BA"/>
    <w:rsid w:val="6662005E"/>
    <w:rsid w:val="667B4406"/>
    <w:rsid w:val="673712CE"/>
    <w:rsid w:val="67507F0B"/>
    <w:rsid w:val="67602244"/>
    <w:rsid w:val="67D0395D"/>
    <w:rsid w:val="6812355A"/>
    <w:rsid w:val="683E07D3"/>
    <w:rsid w:val="686966B5"/>
    <w:rsid w:val="688F43B7"/>
    <w:rsid w:val="693C2DDE"/>
    <w:rsid w:val="698A4BE6"/>
    <w:rsid w:val="699463CC"/>
    <w:rsid w:val="699A2342"/>
    <w:rsid w:val="69A67DCE"/>
    <w:rsid w:val="69C033FA"/>
    <w:rsid w:val="69D76076"/>
    <w:rsid w:val="69F81513"/>
    <w:rsid w:val="6A13684F"/>
    <w:rsid w:val="6A344383"/>
    <w:rsid w:val="6A813C25"/>
    <w:rsid w:val="6ABC0C97"/>
    <w:rsid w:val="6B5D3112"/>
    <w:rsid w:val="6B9177BE"/>
    <w:rsid w:val="6BAF0BC8"/>
    <w:rsid w:val="6C230C12"/>
    <w:rsid w:val="6C3E6FCD"/>
    <w:rsid w:val="6C801A9B"/>
    <w:rsid w:val="6CB0063A"/>
    <w:rsid w:val="6DB15086"/>
    <w:rsid w:val="6DBC1F91"/>
    <w:rsid w:val="6DFB2188"/>
    <w:rsid w:val="6E9A408C"/>
    <w:rsid w:val="6ED3092A"/>
    <w:rsid w:val="6EFA5F0D"/>
    <w:rsid w:val="6F19593F"/>
    <w:rsid w:val="6F513E55"/>
    <w:rsid w:val="6F6B32A5"/>
    <w:rsid w:val="6FB65F29"/>
    <w:rsid w:val="6FCB6854"/>
    <w:rsid w:val="6FD53389"/>
    <w:rsid w:val="6FF001B8"/>
    <w:rsid w:val="701D4E97"/>
    <w:rsid w:val="704034A9"/>
    <w:rsid w:val="704877AA"/>
    <w:rsid w:val="705D7149"/>
    <w:rsid w:val="70622BE5"/>
    <w:rsid w:val="70AB2705"/>
    <w:rsid w:val="71323BD2"/>
    <w:rsid w:val="721032D4"/>
    <w:rsid w:val="72B572F5"/>
    <w:rsid w:val="731F0F79"/>
    <w:rsid w:val="7379218F"/>
    <w:rsid w:val="74256F39"/>
    <w:rsid w:val="746F4B42"/>
    <w:rsid w:val="75990906"/>
    <w:rsid w:val="75A1019E"/>
    <w:rsid w:val="75DA15AF"/>
    <w:rsid w:val="76D638D0"/>
    <w:rsid w:val="76F444DE"/>
    <w:rsid w:val="773A5552"/>
    <w:rsid w:val="77971088"/>
    <w:rsid w:val="77A723DC"/>
    <w:rsid w:val="77AB0BC1"/>
    <w:rsid w:val="77E5120B"/>
    <w:rsid w:val="788F794A"/>
    <w:rsid w:val="78AA266A"/>
    <w:rsid w:val="78B57E8F"/>
    <w:rsid w:val="78F81D59"/>
    <w:rsid w:val="793F4921"/>
    <w:rsid w:val="79841061"/>
    <w:rsid w:val="7992337C"/>
    <w:rsid w:val="79942BFD"/>
    <w:rsid w:val="79AC5F73"/>
    <w:rsid w:val="79B55CD2"/>
    <w:rsid w:val="7A176450"/>
    <w:rsid w:val="7A5769E8"/>
    <w:rsid w:val="7AB9319C"/>
    <w:rsid w:val="7ACC6AFE"/>
    <w:rsid w:val="7B1D6B71"/>
    <w:rsid w:val="7B424A2E"/>
    <w:rsid w:val="7B9B3652"/>
    <w:rsid w:val="7BAF32FF"/>
    <w:rsid w:val="7BD821D8"/>
    <w:rsid w:val="7BF6155C"/>
    <w:rsid w:val="7C7F5D28"/>
    <w:rsid w:val="7C95023F"/>
    <w:rsid w:val="7CF43E26"/>
    <w:rsid w:val="7D284FB2"/>
    <w:rsid w:val="7D947AA4"/>
    <w:rsid w:val="7DD719F8"/>
    <w:rsid w:val="7DEE4F38"/>
    <w:rsid w:val="7E84297A"/>
    <w:rsid w:val="7E87721B"/>
    <w:rsid w:val="7EB12B0B"/>
    <w:rsid w:val="7EF9766D"/>
    <w:rsid w:val="7FA40C53"/>
    <w:rsid w:val="7FCE13C8"/>
    <w:rsid w:val="7FDA0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qFormat="1"/>
    <w:lsdException w:name="toc 2" w:semiHidden="0" w:uiPriority="39" w:qFormat="1"/>
    <w:lsdException w:name="toc 3" w:semiHidden="0" w:uiPriority="39" w:unhideWhenUsed="0" w:qFormat="1"/>
    <w:lsdException w:name="annotation text" w:semiHidden="0" w:uiPriority="99" w:qFormat="1"/>
    <w:lsdException w:name="header" w:semiHidden="0" w:qFormat="1"/>
    <w:lsdException w:name="footer" w:semiHidden="0" w:qFormat="1"/>
    <w:lsdException w:name="caption" w:semiHidden="0" w:uiPriority="35" w:unhideWhenUsed="0" w:qFormat="1"/>
    <w:lsdException w:name="annotation reference" w:semiHidden="0" w:uiPriority="9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unhideWhenUsed="0" w:qFormat="1"/>
    <w:lsdException w:name="Strong" w:semiHidden="0" w:unhideWhenUsed="0" w:qFormat="1"/>
    <w:lsdException w:name="Emphasis" w:semiHidden="0" w:unhideWhenUsed="0" w:qFormat="1"/>
    <w:lsdException w:name="Document Map" w:semiHidden="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qFormat="1"/>
    <w:lsdException w:name="No List" w:uiPriority="99"/>
    <w:lsdException w:name="Outline List 1" w:uiPriority="99"/>
    <w:lsdException w:name="Outline List 2" w:uiPriority="99"/>
    <w:lsdException w:name="Outline List 3" w:uiPriority="99"/>
    <w:lsdException w:name="Balloon Text" w:semiHidden="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4818"/>
    <w:pPr>
      <w:widowControl w:val="0"/>
      <w:jc w:val="both"/>
    </w:pPr>
    <w:rPr>
      <w:rFonts w:ascii="Calibri" w:eastAsia="宋体" w:hAnsi="Calibri" w:cs="黑体"/>
      <w:kern w:val="2"/>
      <w:sz w:val="21"/>
      <w:szCs w:val="24"/>
    </w:rPr>
  </w:style>
  <w:style w:type="paragraph" w:styleId="1">
    <w:name w:val="heading 1"/>
    <w:next w:val="a0"/>
    <w:link w:val="1Char"/>
    <w:uiPriority w:val="9"/>
    <w:qFormat/>
    <w:rsid w:val="007B4818"/>
    <w:pPr>
      <w:keepNext/>
      <w:keepLines/>
      <w:numPr>
        <w:numId w:val="1"/>
      </w:numPr>
      <w:spacing w:line="578" w:lineRule="auto"/>
      <w:outlineLvl w:val="0"/>
    </w:pPr>
    <w:rPr>
      <w:rFonts w:ascii="宋体" w:eastAsia="黑体" w:hAnsi="宋体" w:cs="宋体"/>
      <w:b/>
      <w:bCs/>
      <w:kern w:val="44"/>
      <w:sz w:val="32"/>
      <w:szCs w:val="30"/>
    </w:rPr>
  </w:style>
  <w:style w:type="paragraph" w:styleId="2">
    <w:name w:val="heading 2"/>
    <w:next w:val="a0"/>
    <w:link w:val="2Char"/>
    <w:uiPriority w:val="9"/>
    <w:unhideWhenUsed/>
    <w:qFormat/>
    <w:rsid w:val="007B4818"/>
    <w:pPr>
      <w:numPr>
        <w:ilvl w:val="1"/>
        <w:numId w:val="1"/>
      </w:numPr>
      <w:outlineLvl w:val="1"/>
    </w:pPr>
    <w:rPr>
      <w:rFonts w:ascii="黑体" w:eastAsia="楷体_GB2312" w:hAnsi="黑体" w:cs="宋体"/>
      <w:bCs/>
      <w:kern w:val="2"/>
      <w:sz w:val="32"/>
      <w:szCs w:val="30"/>
    </w:rPr>
  </w:style>
  <w:style w:type="paragraph" w:styleId="3">
    <w:name w:val="heading 3"/>
    <w:next w:val="a0"/>
    <w:link w:val="3Char"/>
    <w:uiPriority w:val="9"/>
    <w:unhideWhenUsed/>
    <w:qFormat/>
    <w:rsid w:val="007B4818"/>
    <w:pPr>
      <w:numPr>
        <w:ilvl w:val="2"/>
        <w:numId w:val="1"/>
      </w:numPr>
      <w:outlineLvl w:val="2"/>
    </w:pPr>
    <w:rPr>
      <w:rFonts w:ascii="黑体" w:eastAsia="仿宋" w:hAnsi="黑体" w:cs="宋体"/>
      <w:b/>
      <w:bCs/>
      <w:kern w:val="2"/>
      <w:sz w:val="32"/>
      <w:szCs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iPriority w:val="35"/>
    <w:qFormat/>
    <w:rsid w:val="007B4818"/>
    <w:pPr>
      <w:keepNext/>
      <w:spacing w:line="560" w:lineRule="exact"/>
      <w:jc w:val="center"/>
    </w:pPr>
    <w:rPr>
      <w:rFonts w:ascii="Calibri Light" w:eastAsia="黑体" w:hAnsi="Calibri Light" w:cs="宋体"/>
      <w:b/>
      <w:sz w:val="24"/>
      <w:szCs w:val="20"/>
    </w:rPr>
  </w:style>
  <w:style w:type="paragraph" w:styleId="a5">
    <w:name w:val="Document Map"/>
    <w:basedOn w:val="a0"/>
    <w:link w:val="Char"/>
    <w:unhideWhenUsed/>
    <w:qFormat/>
    <w:rsid w:val="007B4818"/>
    <w:rPr>
      <w:rFonts w:ascii="宋体"/>
      <w:sz w:val="18"/>
      <w:szCs w:val="18"/>
    </w:rPr>
  </w:style>
  <w:style w:type="paragraph" w:styleId="a6">
    <w:name w:val="annotation text"/>
    <w:basedOn w:val="a0"/>
    <w:link w:val="Char0"/>
    <w:uiPriority w:val="99"/>
    <w:unhideWhenUsed/>
    <w:qFormat/>
    <w:rsid w:val="007B4818"/>
    <w:pPr>
      <w:jc w:val="left"/>
    </w:pPr>
  </w:style>
  <w:style w:type="paragraph" w:styleId="30">
    <w:name w:val="toc 3"/>
    <w:basedOn w:val="a0"/>
    <w:next w:val="a0"/>
    <w:uiPriority w:val="39"/>
    <w:qFormat/>
    <w:rsid w:val="007B4818"/>
    <w:pPr>
      <w:widowControl/>
      <w:ind w:left="442" w:firstLineChars="300" w:firstLine="300"/>
      <w:jc w:val="left"/>
    </w:pPr>
    <w:rPr>
      <w:rFonts w:eastAsia="Times New Roman" w:cs="Times New Roman"/>
      <w:kern w:val="0"/>
      <w:sz w:val="24"/>
    </w:rPr>
  </w:style>
  <w:style w:type="paragraph" w:styleId="a7">
    <w:name w:val="Balloon Text"/>
    <w:basedOn w:val="a0"/>
    <w:link w:val="Char1"/>
    <w:unhideWhenUsed/>
    <w:qFormat/>
    <w:rsid w:val="007B4818"/>
    <w:rPr>
      <w:sz w:val="18"/>
      <w:szCs w:val="18"/>
    </w:rPr>
  </w:style>
  <w:style w:type="paragraph" w:styleId="a8">
    <w:name w:val="footer"/>
    <w:basedOn w:val="a0"/>
    <w:link w:val="Char2"/>
    <w:unhideWhenUsed/>
    <w:qFormat/>
    <w:rsid w:val="007B4818"/>
    <w:pPr>
      <w:tabs>
        <w:tab w:val="center" w:pos="4153"/>
        <w:tab w:val="right" w:pos="8306"/>
      </w:tabs>
      <w:snapToGrid w:val="0"/>
      <w:jc w:val="left"/>
    </w:pPr>
    <w:rPr>
      <w:sz w:val="18"/>
    </w:rPr>
  </w:style>
  <w:style w:type="paragraph" w:styleId="a9">
    <w:name w:val="header"/>
    <w:basedOn w:val="a0"/>
    <w:link w:val="Char3"/>
    <w:unhideWhenUsed/>
    <w:qFormat/>
    <w:rsid w:val="007B4818"/>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10">
    <w:name w:val="toc 1"/>
    <w:basedOn w:val="a0"/>
    <w:next w:val="a0"/>
    <w:uiPriority w:val="39"/>
    <w:unhideWhenUsed/>
    <w:qFormat/>
    <w:rsid w:val="007B4818"/>
    <w:pPr>
      <w:spacing w:before="120" w:after="120"/>
    </w:pPr>
    <w:rPr>
      <w:rFonts w:eastAsia="黑体"/>
      <w:b/>
      <w:sz w:val="24"/>
    </w:rPr>
  </w:style>
  <w:style w:type="paragraph" w:styleId="20">
    <w:name w:val="toc 2"/>
    <w:basedOn w:val="a0"/>
    <w:next w:val="a0"/>
    <w:uiPriority w:val="39"/>
    <w:unhideWhenUsed/>
    <w:qFormat/>
    <w:rsid w:val="007B4818"/>
    <w:pPr>
      <w:spacing w:before="120" w:after="120"/>
      <w:ind w:leftChars="200" w:left="420"/>
    </w:pPr>
    <w:rPr>
      <w:b/>
      <w:sz w:val="24"/>
    </w:rPr>
  </w:style>
  <w:style w:type="paragraph" w:styleId="aa">
    <w:name w:val="Normal (Web)"/>
    <w:basedOn w:val="a0"/>
    <w:uiPriority w:val="99"/>
    <w:unhideWhenUsed/>
    <w:qFormat/>
    <w:rsid w:val="007B4818"/>
    <w:pPr>
      <w:widowControl/>
      <w:spacing w:before="100" w:beforeAutospacing="1" w:after="100" w:afterAutospacing="1"/>
      <w:jc w:val="left"/>
    </w:pPr>
    <w:rPr>
      <w:rFonts w:ascii="宋体" w:hAnsi="宋体" w:cs="宋体"/>
      <w:kern w:val="0"/>
      <w:sz w:val="24"/>
    </w:rPr>
  </w:style>
  <w:style w:type="paragraph" w:styleId="ab">
    <w:name w:val="Title"/>
    <w:basedOn w:val="10"/>
    <w:next w:val="a0"/>
    <w:link w:val="Char4"/>
    <w:uiPriority w:val="10"/>
    <w:qFormat/>
    <w:rsid w:val="007B4818"/>
    <w:pPr>
      <w:shd w:val="clear" w:color="auto" w:fill="FFFFFF" w:themeFill="background1"/>
      <w:spacing w:line="560" w:lineRule="exact"/>
      <w:ind w:right="210" w:firstLineChars="200" w:firstLine="640"/>
      <w:jc w:val="center"/>
    </w:pPr>
    <w:rPr>
      <w:rFonts w:ascii="宋体" w:eastAsiaTheme="minorHAnsi" w:hAnsi="宋体" w:cs="Times New Roman"/>
      <w:caps/>
      <w:sz w:val="42"/>
      <w:szCs w:val="42"/>
    </w:rPr>
  </w:style>
  <w:style w:type="paragraph" w:styleId="ac">
    <w:name w:val="annotation subject"/>
    <w:basedOn w:val="a6"/>
    <w:next w:val="a6"/>
    <w:link w:val="Char5"/>
    <w:unhideWhenUsed/>
    <w:qFormat/>
    <w:rsid w:val="007B4818"/>
    <w:rPr>
      <w:b/>
      <w:bCs/>
    </w:rPr>
  </w:style>
  <w:style w:type="table" w:styleId="ad">
    <w:name w:val="Table Grid"/>
    <w:basedOn w:val="a2"/>
    <w:uiPriority w:val="39"/>
    <w:qFormat/>
    <w:rsid w:val="007B48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1"/>
    <w:qFormat/>
    <w:rsid w:val="007B4818"/>
    <w:rPr>
      <w:i/>
    </w:rPr>
  </w:style>
  <w:style w:type="character" w:styleId="af">
    <w:name w:val="Hyperlink"/>
    <w:uiPriority w:val="99"/>
    <w:qFormat/>
    <w:rsid w:val="007B4818"/>
    <w:rPr>
      <w:rFonts w:ascii="Times New Roman" w:eastAsia="宋体" w:hAnsi="Times New Roman"/>
      <w:color w:val="auto"/>
      <w:spacing w:val="0"/>
      <w:w w:val="100"/>
      <w:position w:val="0"/>
      <w:sz w:val="21"/>
      <w:u w:val="none"/>
    </w:rPr>
  </w:style>
  <w:style w:type="character" w:styleId="af0">
    <w:name w:val="annotation reference"/>
    <w:basedOn w:val="a1"/>
    <w:uiPriority w:val="99"/>
    <w:unhideWhenUsed/>
    <w:qFormat/>
    <w:rsid w:val="007B4818"/>
    <w:rPr>
      <w:sz w:val="21"/>
      <w:szCs w:val="21"/>
    </w:rPr>
  </w:style>
  <w:style w:type="paragraph" w:customStyle="1" w:styleId="11">
    <w:name w:val="列出段落1"/>
    <w:basedOn w:val="a0"/>
    <w:uiPriority w:val="99"/>
    <w:unhideWhenUsed/>
    <w:qFormat/>
    <w:rsid w:val="007B4818"/>
    <w:pPr>
      <w:ind w:firstLineChars="200" w:firstLine="420"/>
    </w:pPr>
  </w:style>
  <w:style w:type="character" w:customStyle="1" w:styleId="Char1">
    <w:name w:val="批注框文本 Char"/>
    <w:basedOn w:val="a1"/>
    <w:link w:val="a7"/>
    <w:semiHidden/>
    <w:qFormat/>
    <w:rsid w:val="007B4818"/>
    <w:rPr>
      <w:rFonts w:ascii="Calibri" w:eastAsia="宋体" w:hAnsi="Calibri" w:cs="黑体"/>
      <w:kern w:val="2"/>
      <w:sz w:val="18"/>
      <w:szCs w:val="18"/>
    </w:rPr>
  </w:style>
  <w:style w:type="character" w:customStyle="1" w:styleId="Char0">
    <w:name w:val="批注文字 Char"/>
    <w:basedOn w:val="a1"/>
    <w:link w:val="a6"/>
    <w:uiPriority w:val="99"/>
    <w:qFormat/>
    <w:rsid w:val="007B4818"/>
    <w:rPr>
      <w:rFonts w:ascii="Calibri" w:hAnsi="Calibri" w:cs="黑体"/>
      <w:kern w:val="2"/>
      <w:sz w:val="21"/>
      <w:szCs w:val="24"/>
    </w:rPr>
  </w:style>
  <w:style w:type="character" w:customStyle="1" w:styleId="Char5">
    <w:name w:val="批注主题 Char"/>
    <w:basedOn w:val="Char0"/>
    <w:link w:val="ac"/>
    <w:semiHidden/>
    <w:qFormat/>
    <w:rsid w:val="007B4818"/>
    <w:rPr>
      <w:rFonts w:ascii="Calibri" w:hAnsi="Calibri" w:cs="黑体"/>
      <w:b/>
      <w:bCs/>
      <w:kern w:val="2"/>
      <w:sz w:val="21"/>
      <w:szCs w:val="24"/>
    </w:rPr>
  </w:style>
  <w:style w:type="paragraph" w:customStyle="1" w:styleId="TOC1">
    <w:name w:val="TOC 标题1"/>
    <w:basedOn w:val="1"/>
    <w:next w:val="a0"/>
    <w:uiPriority w:val="39"/>
    <w:unhideWhenUsed/>
    <w:qFormat/>
    <w:rsid w:val="007B4818"/>
    <w:pPr>
      <w:numPr>
        <w:numId w:val="0"/>
      </w:numPr>
      <w:spacing w:before="240" w:line="259" w:lineRule="auto"/>
      <w:outlineLvl w:val="9"/>
    </w:pPr>
    <w:rPr>
      <w:rFonts w:asciiTheme="majorHAnsi" w:eastAsiaTheme="majorEastAsia" w:hAnsiTheme="majorHAnsi" w:cstheme="majorBidi"/>
      <w:b w:val="0"/>
      <w:bCs w:val="0"/>
      <w:color w:val="365F91" w:themeColor="accent1" w:themeShade="BF"/>
      <w:kern w:val="0"/>
      <w:szCs w:val="32"/>
    </w:rPr>
  </w:style>
  <w:style w:type="character" w:customStyle="1" w:styleId="Char">
    <w:name w:val="文档结构图 Char"/>
    <w:basedOn w:val="a1"/>
    <w:link w:val="a5"/>
    <w:semiHidden/>
    <w:qFormat/>
    <w:rsid w:val="007B4818"/>
    <w:rPr>
      <w:rFonts w:ascii="宋体" w:cs="黑体"/>
      <w:kern w:val="2"/>
      <w:sz w:val="18"/>
      <w:szCs w:val="18"/>
    </w:rPr>
  </w:style>
  <w:style w:type="character" w:customStyle="1" w:styleId="Char4">
    <w:name w:val="标题 Char"/>
    <w:basedOn w:val="a1"/>
    <w:link w:val="ab"/>
    <w:uiPriority w:val="10"/>
    <w:qFormat/>
    <w:rsid w:val="007B4818"/>
    <w:rPr>
      <w:rFonts w:ascii="宋体" w:eastAsiaTheme="minorHAnsi" w:hAnsi="宋体" w:cs="Times New Roman"/>
      <w:caps/>
      <w:kern w:val="2"/>
      <w:sz w:val="42"/>
      <w:szCs w:val="42"/>
      <w:shd w:val="clear" w:color="auto" w:fill="FFFFFF" w:themeFill="background1"/>
    </w:rPr>
  </w:style>
  <w:style w:type="paragraph" w:styleId="af1">
    <w:name w:val="List Paragraph"/>
    <w:basedOn w:val="a0"/>
    <w:uiPriority w:val="34"/>
    <w:qFormat/>
    <w:rsid w:val="007B4818"/>
    <w:pPr>
      <w:ind w:firstLineChars="200" w:firstLine="420"/>
    </w:pPr>
    <w:rPr>
      <w:rFonts w:cs="宋体"/>
      <w:szCs w:val="22"/>
    </w:rPr>
  </w:style>
  <w:style w:type="character" w:customStyle="1" w:styleId="2Char">
    <w:name w:val="标题 2 Char"/>
    <w:basedOn w:val="a1"/>
    <w:link w:val="2"/>
    <w:uiPriority w:val="9"/>
    <w:qFormat/>
    <w:rsid w:val="007B4818"/>
    <w:rPr>
      <w:rFonts w:ascii="黑体" w:eastAsia="楷体_GB2312" w:hAnsi="黑体" w:cs="宋体"/>
      <w:bCs/>
      <w:kern w:val="2"/>
      <w:sz w:val="32"/>
      <w:szCs w:val="30"/>
    </w:rPr>
  </w:style>
  <w:style w:type="paragraph" w:customStyle="1" w:styleId="af2">
    <w:name w:val="段"/>
    <w:link w:val="CharChar"/>
    <w:qFormat/>
    <w:rsid w:val="007B4818"/>
    <w:pPr>
      <w:autoSpaceDE w:val="0"/>
      <w:autoSpaceDN w:val="0"/>
      <w:ind w:firstLineChars="200" w:firstLine="200"/>
      <w:jc w:val="both"/>
    </w:pPr>
    <w:rPr>
      <w:rFonts w:ascii="宋体" w:eastAsia="宋体" w:hAnsi="Times New Roman" w:cs="Times New Roman"/>
      <w:sz w:val="21"/>
    </w:rPr>
  </w:style>
  <w:style w:type="character" w:customStyle="1" w:styleId="CharChar">
    <w:name w:val="段 Char Char"/>
    <w:link w:val="af2"/>
    <w:qFormat/>
    <w:rsid w:val="007B4818"/>
    <w:rPr>
      <w:rFonts w:ascii="宋体" w:hAnsi="Times New Roman" w:cs="Times New Roman"/>
      <w:sz w:val="21"/>
    </w:rPr>
  </w:style>
  <w:style w:type="character" w:customStyle="1" w:styleId="1Char">
    <w:name w:val="标题 1 Char"/>
    <w:basedOn w:val="a1"/>
    <w:link w:val="1"/>
    <w:uiPriority w:val="9"/>
    <w:qFormat/>
    <w:rsid w:val="007B4818"/>
    <w:rPr>
      <w:rFonts w:ascii="宋体" w:eastAsia="黑体" w:hAnsi="宋体" w:cs="宋体"/>
      <w:b/>
      <w:bCs/>
      <w:kern w:val="44"/>
      <w:sz w:val="32"/>
      <w:szCs w:val="30"/>
    </w:rPr>
  </w:style>
  <w:style w:type="character" w:customStyle="1" w:styleId="3Char">
    <w:name w:val="标题 3 Char"/>
    <w:basedOn w:val="a1"/>
    <w:link w:val="3"/>
    <w:uiPriority w:val="9"/>
    <w:qFormat/>
    <w:rsid w:val="007B4818"/>
    <w:rPr>
      <w:rFonts w:ascii="黑体" w:eastAsia="仿宋" w:hAnsi="黑体" w:cs="宋体"/>
      <w:b/>
      <w:bCs/>
      <w:kern w:val="2"/>
      <w:sz w:val="32"/>
      <w:szCs w:val="30"/>
    </w:rPr>
  </w:style>
  <w:style w:type="character" w:customStyle="1" w:styleId="content">
    <w:name w:val="content"/>
    <w:basedOn w:val="a1"/>
    <w:qFormat/>
    <w:rsid w:val="007B4818"/>
  </w:style>
  <w:style w:type="paragraph" w:customStyle="1" w:styleId="12">
    <w:name w:val="修订1"/>
    <w:hidden/>
    <w:uiPriority w:val="99"/>
    <w:semiHidden/>
    <w:qFormat/>
    <w:rsid w:val="007B4818"/>
    <w:rPr>
      <w:rFonts w:ascii="Calibri" w:eastAsia="宋体" w:hAnsi="Calibri" w:cs="黑体"/>
      <w:kern w:val="2"/>
      <w:sz w:val="21"/>
      <w:szCs w:val="24"/>
    </w:rPr>
  </w:style>
  <w:style w:type="paragraph" w:customStyle="1" w:styleId="a">
    <w:name w:val="附录表标题"/>
    <w:next w:val="af2"/>
    <w:qFormat/>
    <w:rsid w:val="007B4818"/>
    <w:pPr>
      <w:numPr>
        <w:numId w:val="2"/>
      </w:numPr>
      <w:jc w:val="center"/>
      <w:textAlignment w:val="baseline"/>
    </w:pPr>
    <w:rPr>
      <w:rFonts w:ascii="黑体" w:eastAsia="黑体" w:hAnsi="Times New Roman" w:cs="Times New Roman"/>
      <w:kern w:val="21"/>
      <w:sz w:val="21"/>
    </w:rPr>
  </w:style>
  <w:style w:type="paragraph" w:customStyle="1" w:styleId="21">
    <w:name w:val="修订2"/>
    <w:hidden/>
    <w:uiPriority w:val="99"/>
    <w:semiHidden/>
    <w:qFormat/>
    <w:rsid w:val="007B4818"/>
    <w:rPr>
      <w:rFonts w:ascii="Calibri" w:eastAsia="宋体" w:hAnsi="Calibri" w:cs="黑体"/>
      <w:kern w:val="2"/>
      <w:sz w:val="21"/>
      <w:szCs w:val="24"/>
    </w:rPr>
  </w:style>
  <w:style w:type="paragraph" w:customStyle="1" w:styleId="31">
    <w:name w:val="修订3"/>
    <w:hidden/>
    <w:uiPriority w:val="99"/>
    <w:semiHidden/>
    <w:qFormat/>
    <w:rsid w:val="007B4818"/>
    <w:rPr>
      <w:rFonts w:ascii="Calibri" w:eastAsia="宋体" w:hAnsi="Calibri" w:cs="黑体"/>
      <w:kern w:val="2"/>
      <w:sz w:val="21"/>
      <w:szCs w:val="24"/>
    </w:rPr>
  </w:style>
  <w:style w:type="paragraph" w:customStyle="1" w:styleId="4">
    <w:name w:val="修订4"/>
    <w:hidden/>
    <w:uiPriority w:val="99"/>
    <w:semiHidden/>
    <w:qFormat/>
    <w:rsid w:val="007B4818"/>
    <w:rPr>
      <w:rFonts w:ascii="Calibri" w:eastAsia="宋体" w:hAnsi="Calibri" w:cs="黑体"/>
      <w:kern w:val="2"/>
      <w:sz w:val="21"/>
      <w:szCs w:val="24"/>
    </w:rPr>
  </w:style>
  <w:style w:type="character" w:customStyle="1" w:styleId="1Char0">
    <w:name w:val="正文1 Char"/>
    <w:link w:val="13"/>
    <w:qFormat/>
    <w:rsid w:val="007B4818"/>
    <w:rPr>
      <w:rFonts w:ascii="Times New Roman" w:eastAsia="仿宋_GB2312" w:hAnsi="Times New Roman" w:cs="Times New Roman"/>
      <w:sz w:val="30"/>
      <w:szCs w:val="30"/>
    </w:rPr>
  </w:style>
  <w:style w:type="paragraph" w:customStyle="1" w:styleId="13">
    <w:name w:val="正文1"/>
    <w:basedOn w:val="a0"/>
    <w:link w:val="1Char0"/>
    <w:qFormat/>
    <w:rsid w:val="007B4818"/>
    <w:pPr>
      <w:widowControl/>
      <w:ind w:firstLine="600"/>
      <w:jc w:val="left"/>
    </w:pPr>
    <w:rPr>
      <w:rFonts w:ascii="Times New Roman" w:eastAsia="仿宋_GB2312" w:hAnsi="Times New Roman" w:cs="Times New Roman"/>
      <w:kern w:val="0"/>
      <w:sz w:val="30"/>
      <w:szCs w:val="30"/>
    </w:rPr>
  </w:style>
  <w:style w:type="paragraph" w:customStyle="1" w:styleId="Af3">
    <w:name w:val="A正文"/>
    <w:basedOn w:val="a0"/>
    <w:qFormat/>
    <w:rsid w:val="007B4818"/>
    <w:pPr>
      <w:widowControl/>
      <w:jc w:val="left"/>
    </w:pPr>
    <w:rPr>
      <w:rFonts w:ascii="宋体" w:eastAsia="等线" w:hAnsi="宋体" w:cs="宋体"/>
      <w:kern w:val="0"/>
      <w:sz w:val="24"/>
      <w:szCs w:val="21"/>
    </w:rPr>
  </w:style>
  <w:style w:type="paragraph" w:customStyle="1" w:styleId="5">
    <w:name w:val="修订5"/>
    <w:hidden/>
    <w:uiPriority w:val="99"/>
    <w:semiHidden/>
    <w:qFormat/>
    <w:rsid w:val="007B4818"/>
    <w:rPr>
      <w:rFonts w:ascii="Calibri" w:eastAsia="宋体" w:hAnsi="Calibri" w:cs="黑体"/>
      <w:kern w:val="2"/>
      <w:sz w:val="21"/>
      <w:szCs w:val="24"/>
    </w:rPr>
  </w:style>
  <w:style w:type="character" w:customStyle="1" w:styleId="Char3">
    <w:name w:val="页眉 Char"/>
    <w:basedOn w:val="a1"/>
    <w:link w:val="a9"/>
    <w:qFormat/>
    <w:rsid w:val="007B4818"/>
    <w:rPr>
      <w:rFonts w:ascii="Times New Roman" w:eastAsia="宋体" w:hAnsi="Times New Roman" w:cs="黑体"/>
      <w:kern w:val="2"/>
      <w:sz w:val="18"/>
      <w:szCs w:val="24"/>
    </w:rPr>
  </w:style>
  <w:style w:type="character" w:customStyle="1" w:styleId="Char2">
    <w:name w:val="页脚 Char"/>
    <w:basedOn w:val="a1"/>
    <w:link w:val="a8"/>
    <w:qFormat/>
    <w:rsid w:val="007B4818"/>
    <w:rPr>
      <w:rFonts w:ascii="Calibri" w:eastAsia="宋体" w:hAnsi="Calibri" w:cs="黑体"/>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3E3F61F7-6957-4183-A528-52E9BC6F041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3185</Words>
  <Characters>18159</Characters>
  <Application>Microsoft Office Word</Application>
  <DocSecurity>0</DocSecurity>
  <Lines>151</Lines>
  <Paragraphs>42</Paragraphs>
  <ScaleCrop>false</ScaleCrop>
  <Company>Microsoft</Company>
  <LinksUpToDate>false</LinksUpToDate>
  <CharactersWithSpaces>21302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3.1战略定位</dc:title>
  <dc:creator>95</dc:creator>
  <cp:lastModifiedBy>刘杨</cp:lastModifiedBy>
  <cp:revision>2</cp:revision>
  <cp:lastPrinted>2020-09-15T00:44:00Z</cp:lastPrinted>
  <dcterms:created xsi:type="dcterms:W3CDTF">2020-12-08T10:26:00Z</dcterms:created>
  <dcterms:modified xsi:type="dcterms:W3CDTF">2020-12-08T10:26:00Z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